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70904638"/>
        <w:docPartObj>
          <w:docPartGallery w:val="Cover Pages"/>
          <w:docPartUnique/>
        </w:docPartObj>
      </w:sdtPr>
      <w:sdtEndPr/>
      <w:sdtContent>
        <w:p w14:paraId="3F50C556" w14:textId="77777777" w:rsidR="00F35B74" w:rsidRDefault="00F35B74"/>
        <w:p w14:paraId="18AF57F9" w14:textId="77777777" w:rsidR="00F35B74" w:rsidRDefault="00B23EB7">
          <w:r>
            <w:rPr>
              <w:noProof/>
              <w:lang w:val="en-GB" w:eastAsia="en-GB"/>
            </w:rPr>
            <mc:AlternateContent>
              <mc:Choice Requires="wps">
                <w:drawing>
                  <wp:anchor distT="0" distB="0" distL="114300" distR="114300" simplePos="0" relativeHeight="251659264" behindDoc="0" locked="0" layoutInCell="1" allowOverlap="1" wp14:anchorId="30FF2A19" wp14:editId="283CBE1C">
                    <wp:simplePos x="0" y="0"/>
                    <wp:positionH relativeFrom="page">
                      <wp:posOffset>3923071</wp:posOffset>
                    </wp:positionH>
                    <wp:positionV relativeFrom="page">
                      <wp:posOffset>3929625</wp:posOffset>
                    </wp:positionV>
                    <wp:extent cx="3143885" cy="2460195"/>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3143885" cy="246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F2F5A" w14:textId="77777777" w:rsidR="004A30A2" w:rsidRDefault="004A30A2" w:rsidP="004A30A2">
                                <w:pPr>
                                  <w:pStyle w:val="Heading1"/>
                                  <w:rPr>
                                    <w:b/>
                                    <w:bCs/>
                                    <w:color w:val="2E74B5" w:themeColor="accent1" w:themeShade="BF"/>
                                    <w:sz w:val="60"/>
                                    <w:szCs w:val="60"/>
                                  </w:rPr>
                                </w:pPr>
                                <w:r>
                                  <w:rPr>
                                    <w:color w:val="2E74B5" w:themeColor="accent1" w:themeShade="BF"/>
                                    <w:sz w:val="60"/>
                                    <w:szCs w:val="60"/>
                                  </w:rPr>
                                  <w:t xml:space="preserve">Remuneration Determination </w:t>
                                </w:r>
                              </w:p>
                              <w:p w14:paraId="24D85395" w14:textId="77777777" w:rsidR="004A30A2" w:rsidRDefault="004A30A2" w:rsidP="004A30A2">
                                <w:pPr>
                                  <w:pStyle w:val="Heading1"/>
                                  <w:rPr>
                                    <w:b/>
                                    <w:bCs/>
                                    <w:i/>
                                    <w:sz w:val="60"/>
                                    <w:szCs w:val="60"/>
                                  </w:rPr>
                                </w:pPr>
                              </w:p>
                              <w:p w14:paraId="1A0B4456" w14:textId="4074F55D" w:rsidR="004A30A2" w:rsidRDefault="004A30A2" w:rsidP="004A30A2">
                                <w:pPr>
                                  <w:pStyle w:val="Heading1"/>
                                  <w:rPr>
                                    <w:i/>
                                    <w:sz w:val="60"/>
                                    <w:szCs w:val="60"/>
                                  </w:rPr>
                                </w:pPr>
                                <w:r>
                                  <w:rPr>
                                    <w:i/>
                                    <w:sz w:val="60"/>
                                    <w:szCs w:val="60"/>
                                  </w:rPr>
                                  <w:t xml:space="preserve">2021-22 Review of Allowances </w:t>
                                </w:r>
                              </w:p>
                              <w:p w14:paraId="1873BE73" w14:textId="77777777" w:rsidR="00F35B74" w:rsidRPr="00C647C4" w:rsidRDefault="00F35B74" w:rsidP="00C416BE">
                                <w:pPr>
                                  <w:pStyle w:val="Heading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FF2A19" id="_x0000_t202" coordsize="21600,21600" o:spt="202" path="m,l,21600r21600,l21600,xe">
                    <v:stroke joinstyle="miter"/>
                    <v:path gradientshapeok="t" o:connecttype="rect"/>
                  </v:shapetype>
                  <v:shape id="Text Box 154" o:spid="_x0000_s1026" type="#_x0000_t202" style="position:absolute;margin-left:308.9pt;margin-top:309.4pt;width:247.55pt;height:19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" filled="f" stroked="f" strokeweight=".5pt">
                    <v:textbox inset="0,0,0,0">
                      <w:txbxContent>
                        <w:p w14:paraId="1C4F2F5A" w14:textId="77777777" w:rsidR="004A30A2" w:rsidRDefault="004A30A2" w:rsidP="004A30A2">
                          <w:pPr>
                            <w:pStyle w:val="Heading1"/>
                            <w:rPr>
                              <w:b/>
                              <w:bCs/>
                              <w:color w:val="2E74B5" w:themeColor="accent1" w:themeShade="BF"/>
                              <w:sz w:val="60"/>
                              <w:szCs w:val="60"/>
                            </w:rPr>
                          </w:pPr>
                          <w:r>
                            <w:rPr>
                              <w:color w:val="2E74B5" w:themeColor="accent1" w:themeShade="BF"/>
                              <w:sz w:val="60"/>
                              <w:szCs w:val="60"/>
                            </w:rPr>
                            <w:t xml:space="preserve">Remuneration Determination </w:t>
                          </w:r>
                        </w:p>
                        <w:p w14:paraId="24D85395" w14:textId="77777777" w:rsidR="004A30A2" w:rsidRDefault="004A30A2" w:rsidP="004A30A2">
                          <w:pPr>
                            <w:pStyle w:val="Heading1"/>
                            <w:rPr>
                              <w:b/>
                              <w:bCs/>
                              <w:i/>
                              <w:sz w:val="60"/>
                              <w:szCs w:val="60"/>
                            </w:rPr>
                          </w:pPr>
                        </w:p>
                        <w:p w14:paraId="1A0B4456" w14:textId="4074F55D" w:rsidR="004A30A2" w:rsidRDefault="004A30A2" w:rsidP="004A30A2">
                          <w:pPr>
                            <w:pStyle w:val="Heading1"/>
                            <w:rPr>
                              <w:i/>
                              <w:sz w:val="60"/>
                              <w:szCs w:val="60"/>
                            </w:rPr>
                          </w:pPr>
                          <w:r>
                            <w:rPr>
                              <w:i/>
                              <w:sz w:val="60"/>
                              <w:szCs w:val="60"/>
                            </w:rPr>
                            <w:t xml:space="preserve">2021-22 Review of Allowances </w:t>
                          </w:r>
                        </w:p>
                        <w:p w14:paraId="1873BE73" w14:textId="77777777" w:rsidR="00F35B74" w:rsidRPr="00C647C4" w:rsidRDefault="00F35B74" w:rsidP="00C416BE">
                          <w:pPr>
                            <w:pStyle w:val="Heading1"/>
                          </w:pPr>
                        </w:p>
                      </w:txbxContent>
                    </v:textbox>
                    <w10:wrap type="square" anchorx="page" anchory="page"/>
                  </v:shape>
                </w:pict>
              </mc:Fallback>
            </mc:AlternateContent>
          </w:r>
          <w:r w:rsidR="00895320">
            <w:rPr>
              <w:noProof/>
              <w:lang w:val="en-GB" w:eastAsia="en-GB"/>
            </w:rPr>
            <mc:AlternateContent>
              <mc:Choice Requires="wps">
                <w:drawing>
                  <wp:anchor distT="0" distB="0" distL="114300" distR="114300" simplePos="0" relativeHeight="251661312" behindDoc="0" locked="0" layoutInCell="1" allowOverlap="1" wp14:anchorId="514284C6" wp14:editId="5677291A">
                    <wp:simplePos x="0" y="0"/>
                    <wp:positionH relativeFrom="page">
                      <wp:posOffset>4015105</wp:posOffset>
                    </wp:positionH>
                    <wp:positionV relativeFrom="page">
                      <wp:posOffset>7437120</wp:posOffset>
                    </wp:positionV>
                    <wp:extent cx="2445385" cy="843280"/>
                    <wp:effectExtent l="0" t="0" r="18415" b="0"/>
                    <wp:wrapSquare wrapText="bothSides"/>
                    <wp:docPr id="153" name="Text Box 153"/>
                    <wp:cNvGraphicFramePr/>
                    <a:graphic xmlns:a="http://schemas.openxmlformats.org/drawingml/2006/main">
                      <a:graphicData uri="http://schemas.microsoft.com/office/word/2010/wordprocessingShape">
                        <wps:wsp>
                          <wps:cNvSpPr txBox="1"/>
                          <wps:spPr>
                            <a:xfrm>
                              <a:off x="0" y="0"/>
                              <a:ext cx="2445385" cy="84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08322D" w14:textId="50503E9B" w:rsidR="001706D1" w:rsidRDefault="001706D1" w:rsidP="001706D1">
                                <w:pPr>
                                  <w:pStyle w:val="Heading2"/>
                                  <w:rPr>
                                    <w:rFonts w:ascii="MetaNormalLF-Roman" w:hAnsi="MetaNormalLF-Roman"/>
                                    <w:szCs w:val="24"/>
                                    <w:lang w:val="en-GB" w:eastAsia="en-GB"/>
                                  </w:rPr>
                                </w:pPr>
                                <w:r>
                                  <w:t xml:space="preserve">Determination </w:t>
                                </w:r>
                                <w:r w:rsidR="004A30A2">
                                  <w:t>27</w:t>
                                </w:r>
                                <w:r>
                                  <w:t>/</w:t>
                                </w:r>
                                <w:r w:rsidR="00D50268">
                                  <w:t>202</w:t>
                                </w:r>
                                <w:r w:rsidR="004A30A2">
                                  <w:t>3</w:t>
                                </w:r>
                              </w:p>
                              <w:p w14:paraId="2A79C51C" w14:textId="3A766106" w:rsidR="009E3299" w:rsidRPr="001706D1" w:rsidRDefault="007D5ADD" w:rsidP="001706D1">
                                <w:pPr>
                                  <w:pStyle w:val="Heading2"/>
                                  <w:rPr>
                                    <w:b/>
                                  </w:rPr>
                                </w:pPr>
                                <w:r>
                                  <w:rPr>
                                    <w:b/>
                                  </w:rPr>
                                  <w:t>2</w:t>
                                </w:r>
                                <w:r w:rsidR="0038654A">
                                  <w:rPr>
                                    <w:b/>
                                  </w:rPr>
                                  <w:t>7</w:t>
                                </w:r>
                                <w:r w:rsidR="001706D1" w:rsidRPr="001706D1">
                                  <w:rPr>
                                    <w:b/>
                                  </w:rPr>
                                  <w:t xml:space="preserve"> </w:t>
                                </w:r>
                                <w:r w:rsidR="004A30A2">
                                  <w:rPr>
                                    <w:b/>
                                  </w:rPr>
                                  <w:t>March</w:t>
                                </w:r>
                                <w:r w:rsidR="001706D1" w:rsidRPr="001706D1">
                                  <w:rPr>
                                    <w:b/>
                                  </w:rPr>
                                  <w:t xml:space="preserve"> 20</w:t>
                                </w:r>
                                <w:r w:rsidR="00D50268">
                                  <w:rPr>
                                    <w:b/>
                                  </w:rPr>
                                  <w:t>2</w:t>
                                </w:r>
                                <w:r w:rsidR="004A30A2">
                                  <w:rPr>
                                    <w:b/>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 w14:anchorId="514284C6" id="Text Box 153" o:spid="_x0000_s1027" type="#_x0000_t202" style="position:absolute;margin-left:316.15pt;margin-top:585.6pt;width:192.55pt;height:66.4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" filled="f" stroked="f" strokeweight=".5pt">
                    <v:textbox inset="0,0,0,0">
                      <w:txbxContent>
                        <w:p w14:paraId="5908322D" w14:textId="50503E9B" w:rsidR="001706D1" w:rsidRDefault="001706D1" w:rsidP="001706D1">
                          <w:pPr>
                            <w:pStyle w:val="Heading2"/>
                            <w:rPr>
                              <w:rFonts w:ascii="MetaNormalLF-Roman" w:hAnsi="MetaNormalLF-Roman"/>
                              <w:szCs w:val="24"/>
                              <w:lang w:val="en-GB" w:eastAsia="en-GB"/>
                            </w:rPr>
                          </w:pPr>
                          <w:r>
                            <w:t xml:space="preserve">Determination </w:t>
                          </w:r>
                          <w:r w:rsidR="004A30A2">
                            <w:t>27</w:t>
                          </w:r>
                          <w:r>
                            <w:t>/</w:t>
                          </w:r>
                          <w:r w:rsidR="00D50268">
                            <w:t>202</w:t>
                          </w:r>
                          <w:r w:rsidR="004A30A2">
                            <w:t>3</w:t>
                          </w:r>
                        </w:p>
                        <w:p w14:paraId="2A79C51C" w14:textId="3A766106" w:rsidR="009E3299" w:rsidRPr="001706D1" w:rsidRDefault="007D5ADD" w:rsidP="001706D1">
                          <w:pPr>
                            <w:pStyle w:val="Heading2"/>
                            <w:rPr>
                              <w:b/>
                            </w:rPr>
                          </w:pPr>
                          <w:r>
                            <w:rPr>
                              <w:b/>
                            </w:rPr>
                            <w:t>2</w:t>
                          </w:r>
                          <w:r w:rsidR="0038654A">
                            <w:rPr>
                              <w:b/>
                            </w:rPr>
                            <w:t>7</w:t>
                          </w:r>
                          <w:r w:rsidR="001706D1" w:rsidRPr="001706D1">
                            <w:rPr>
                              <w:b/>
                            </w:rPr>
                            <w:t xml:space="preserve"> </w:t>
                          </w:r>
                          <w:r w:rsidR="004A30A2">
                            <w:rPr>
                              <w:b/>
                            </w:rPr>
                            <w:t>March</w:t>
                          </w:r>
                          <w:r w:rsidR="001706D1" w:rsidRPr="001706D1">
                            <w:rPr>
                              <w:b/>
                            </w:rPr>
                            <w:t xml:space="preserve"> 20</w:t>
                          </w:r>
                          <w:r w:rsidR="00D50268">
                            <w:rPr>
                              <w:b/>
                            </w:rPr>
                            <w:t>2</w:t>
                          </w:r>
                          <w:r w:rsidR="004A30A2">
                            <w:rPr>
                              <w:b/>
                            </w:rPr>
                            <w:t>3</w:t>
                          </w:r>
                        </w:p>
                      </w:txbxContent>
                    </v:textbox>
                    <w10:wrap type="square" anchorx="page" anchory="page"/>
                  </v:shape>
                </w:pict>
              </mc:Fallback>
            </mc:AlternateContent>
          </w:r>
          <w:r w:rsidR="00F35B74">
            <w:br w:type="page"/>
          </w:r>
        </w:p>
      </w:sdtContent>
    </w:sdt>
    <w:p w14:paraId="5D5D365C" w14:textId="3F921B09" w:rsidR="00D50268" w:rsidRDefault="00D50268" w:rsidP="00D50268">
      <w:pPr>
        <w:pStyle w:val="Title"/>
        <w:pBdr>
          <w:bottom w:val="single" w:sz="8" w:space="7" w:color="4F81BD"/>
        </w:pBdr>
        <w:rPr>
          <w:rFonts w:ascii="Arial" w:hAnsi="Arial" w:cs="Arial"/>
          <w:lang w:val="en-US"/>
        </w:rPr>
      </w:pPr>
      <w:r>
        <w:rPr>
          <w:rFonts w:ascii="Arial" w:hAnsi="Arial" w:cs="Arial"/>
          <w:lang w:val="en-US"/>
        </w:rPr>
        <w:lastRenderedPageBreak/>
        <w:t xml:space="preserve">Determination </w:t>
      </w:r>
      <w:r w:rsidR="00944415">
        <w:rPr>
          <w:rFonts w:ascii="Arial" w:hAnsi="Arial" w:cs="Arial"/>
          <w:lang w:val="en-US"/>
        </w:rPr>
        <w:t>27/2023</w:t>
      </w:r>
    </w:p>
    <w:p w14:paraId="5BFB423C" w14:textId="77777777" w:rsidR="00D50268" w:rsidRPr="007E469D" w:rsidRDefault="00D50268" w:rsidP="00D50268">
      <w:pPr>
        <w:pStyle w:val="Title"/>
        <w:pBdr>
          <w:bottom w:val="single" w:sz="8" w:space="7" w:color="4F81BD"/>
        </w:pBdr>
        <w:rPr>
          <w:rFonts w:ascii="Arial" w:hAnsi="Arial" w:cs="Arial"/>
          <w:lang w:val="en-US"/>
        </w:rPr>
      </w:pPr>
      <w:r>
        <w:rPr>
          <w:rFonts w:ascii="Arial" w:hAnsi="Arial" w:cs="Arial"/>
          <w:lang w:val="en-US"/>
        </w:rPr>
        <w:t>Background and Reasons</w:t>
      </w:r>
    </w:p>
    <w:p w14:paraId="5128D754" w14:textId="77777777" w:rsidR="00D50268" w:rsidRPr="00E4735A" w:rsidRDefault="00D50268" w:rsidP="00E4735A">
      <w:pPr>
        <w:pStyle w:val="Subtitle"/>
        <w:spacing w:after="160"/>
        <w:rPr>
          <w:rFonts w:ascii="Arial" w:hAnsi="Arial" w:cs="Arial"/>
          <w:b/>
          <w:bCs/>
          <w:i w:val="0"/>
          <w:iCs w:val="0"/>
        </w:rPr>
      </w:pPr>
      <w:r w:rsidRPr="00E4735A">
        <w:rPr>
          <w:rFonts w:ascii="Arial" w:hAnsi="Arial" w:cs="Arial"/>
          <w:b/>
          <w:bCs/>
          <w:i w:val="0"/>
          <w:iCs w:val="0"/>
        </w:rPr>
        <w:t>Tribunal roles and responsibilities</w:t>
      </w:r>
    </w:p>
    <w:p w14:paraId="3B6312AD" w14:textId="77777777" w:rsidR="00944415" w:rsidRPr="00E4735A" w:rsidRDefault="00944415" w:rsidP="00E4735A">
      <w:pPr>
        <w:spacing w:after="160"/>
        <w:jc w:val="both"/>
        <w:rPr>
          <w:rFonts w:eastAsia="Calibri" w:cs="Arial"/>
          <w:sz w:val="22"/>
        </w:rPr>
      </w:pPr>
      <w:r w:rsidRPr="00E4735A">
        <w:rPr>
          <w:rFonts w:eastAsia="Calibri" w:cs="Arial"/>
          <w:sz w:val="22"/>
        </w:rPr>
        <w:t xml:space="preserve">The </w:t>
      </w:r>
      <w:r w:rsidRPr="00E4735A">
        <w:rPr>
          <w:rFonts w:eastAsia="Calibri" w:cs="Arial"/>
          <w:i/>
          <w:sz w:val="22"/>
        </w:rPr>
        <w:t>Queensland Independent Remuneration Tribunal Act 2013</w:t>
      </w:r>
      <w:r w:rsidRPr="00E4735A">
        <w:rPr>
          <w:rFonts w:eastAsia="Calibri" w:cs="Arial"/>
          <w:sz w:val="22"/>
        </w:rPr>
        <w:t xml:space="preserve"> (the Act) provides for the Queensland Independent Remuneration Tribunal (the Tribunal) to:</w:t>
      </w:r>
    </w:p>
    <w:p w14:paraId="62D05628" w14:textId="57DEF2AB" w:rsidR="00944415" w:rsidRPr="00E4735A" w:rsidRDefault="00944415" w:rsidP="00E4735A">
      <w:pPr>
        <w:pStyle w:val="ListParagraph"/>
        <w:numPr>
          <w:ilvl w:val="0"/>
          <w:numId w:val="4"/>
        </w:numPr>
        <w:spacing w:after="160"/>
        <w:contextualSpacing w:val="0"/>
        <w:jc w:val="both"/>
        <w:rPr>
          <w:rFonts w:ascii="Arial" w:eastAsia="Calibri" w:hAnsi="Arial" w:cs="Arial"/>
        </w:rPr>
      </w:pPr>
      <w:r w:rsidRPr="00E4735A">
        <w:rPr>
          <w:rFonts w:ascii="Arial" w:eastAsia="Calibri" w:hAnsi="Arial" w:cs="Arial"/>
        </w:rPr>
        <w:t>review and determine remuneration (annual and additional salaries, allowances and entitlements) in connection with members and former members of the Queensland Legislative Assembly (Remuneration Determination</w:t>
      </w:r>
      <w:r w:rsidR="00714AB6" w:rsidRPr="00E4735A">
        <w:rPr>
          <w:rFonts w:ascii="Arial" w:eastAsia="Calibri" w:hAnsi="Arial" w:cs="Arial"/>
        </w:rPr>
        <w:t>)</w:t>
      </w:r>
      <w:r w:rsidR="00714AB6">
        <w:rPr>
          <w:rFonts w:ascii="Arial" w:eastAsia="Calibri" w:hAnsi="Arial" w:cs="Arial"/>
        </w:rPr>
        <w:t>;</w:t>
      </w:r>
      <w:r w:rsidR="00714AB6" w:rsidRPr="00E4735A">
        <w:rPr>
          <w:rFonts w:ascii="Arial" w:eastAsia="Calibri" w:hAnsi="Arial" w:cs="Arial"/>
        </w:rPr>
        <w:t xml:space="preserve"> </w:t>
      </w:r>
      <w:r w:rsidRPr="00E4735A">
        <w:rPr>
          <w:rFonts w:ascii="Arial" w:eastAsia="Calibri" w:hAnsi="Arial" w:cs="Arial"/>
        </w:rPr>
        <w:t>and</w:t>
      </w:r>
    </w:p>
    <w:p w14:paraId="6D86182B" w14:textId="77777777" w:rsidR="00944415" w:rsidRPr="00E4735A" w:rsidRDefault="00944415" w:rsidP="00E4735A">
      <w:pPr>
        <w:pStyle w:val="ListParagraph"/>
        <w:numPr>
          <w:ilvl w:val="0"/>
          <w:numId w:val="4"/>
        </w:numPr>
        <w:spacing w:after="160"/>
        <w:contextualSpacing w:val="0"/>
        <w:jc w:val="both"/>
        <w:rPr>
          <w:rFonts w:ascii="Arial" w:eastAsia="Calibri" w:hAnsi="Arial" w:cs="Arial"/>
        </w:rPr>
      </w:pPr>
      <w:r w:rsidRPr="00E4735A">
        <w:rPr>
          <w:rFonts w:ascii="Arial" w:eastAsia="Calibri" w:hAnsi="Arial" w:cs="Arial"/>
        </w:rPr>
        <w:t xml:space="preserve">review and determine entitlements of cross bench members to additional staff members (Additional Staff Member Determination). </w:t>
      </w:r>
    </w:p>
    <w:p w14:paraId="4C5A0914" w14:textId="77777777" w:rsidR="00944415" w:rsidRPr="00E4735A" w:rsidRDefault="00944415" w:rsidP="00E4735A">
      <w:pPr>
        <w:spacing w:after="160"/>
        <w:jc w:val="both"/>
        <w:rPr>
          <w:rFonts w:eastAsia="Calibri" w:cs="Arial"/>
          <w:sz w:val="22"/>
        </w:rPr>
      </w:pPr>
      <w:r w:rsidRPr="00E4735A">
        <w:rPr>
          <w:rFonts w:eastAsia="Calibri" w:cs="Arial"/>
          <w:sz w:val="22"/>
        </w:rPr>
        <w:t>For a Remuneration Determination, the Tribunal may have regard to the value to the community of a member carrying out their role, functions and responsibilities and the importance of a member being appropriately remunerated for carrying out their role. The Tribunal may also consider relevant laws and any other matters the Tribunal considers appropriate including, for example, the size of an electorate (section 29 of the Act). Before making a Determination, the Tribunal must consult with and consider the views of the Clerk of the Parliament (the Clerk).</w:t>
      </w:r>
    </w:p>
    <w:p w14:paraId="351B2DFE" w14:textId="1D496234" w:rsidR="00944415" w:rsidRPr="00E4735A" w:rsidRDefault="00944415" w:rsidP="00E4735A">
      <w:pPr>
        <w:spacing w:after="160"/>
        <w:jc w:val="both"/>
        <w:rPr>
          <w:rFonts w:cs="Arial"/>
          <w:sz w:val="22"/>
        </w:rPr>
      </w:pPr>
      <w:r w:rsidRPr="00E4735A">
        <w:rPr>
          <w:rFonts w:eastAsia="Calibri" w:cs="Arial"/>
          <w:sz w:val="22"/>
        </w:rPr>
        <w:t>The Tribunal must ensure any allowances paid to a member reflect the amount of reasonable expenses incurred by a member in servicing their electorate</w:t>
      </w:r>
      <w:r w:rsidR="0098171B">
        <w:rPr>
          <w:rFonts w:eastAsia="Calibri" w:cs="Arial"/>
          <w:sz w:val="22"/>
        </w:rPr>
        <w:t xml:space="preserve">, </w:t>
      </w:r>
      <w:r w:rsidRPr="00E4735A">
        <w:rPr>
          <w:rFonts w:eastAsia="Calibri" w:cs="Arial"/>
          <w:sz w:val="22"/>
        </w:rPr>
        <w:t>ensure these allowances are not a substitute for other remuneration</w:t>
      </w:r>
      <w:r w:rsidR="0098171B">
        <w:rPr>
          <w:rFonts w:eastAsia="Calibri" w:cs="Arial"/>
          <w:sz w:val="22"/>
        </w:rPr>
        <w:t>,</w:t>
      </w:r>
      <w:r w:rsidRPr="00E4735A">
        <w:rPr>
          <w:rFonts w:eastAsia="Calibri" w:cs="Arial"/>
          <w:sz w:val="22"/>
        </w:rPr>
        <w:t xml:space="preserve"> and ensure accommodation services or other entitlements provided for in section 55 of the Act are not taken into account, such as electorate offices, staffing support and major items of office equipment (section 30 of the Act).</w:t>
      </w:r>
    </w:p>
    <w:p w14:paraId="149FF9D2" w14:textId="6C0B23CB" w:rsidR="00D50268" w:rsidRPr="00E4735A" w:rsidRDefault="00944415" w:rsidP="00E4735A">
      <w:pPr>
        <w:pStyle w:val="Subtitle"/>
        <w:spacing w:after="160"/>
        <w:rPr>
          <w:rFonts w:ascii="Arial" w:hAnsi="Arial" w:cs="Arial"/>
        </w:rPr>
      </w:pPr>
      <w:r w:rsidRPr="00E4735A">
        <w:rPr>
          <w:rFonts w:ascii="Arial" w:hAnsi="Arial" w:cs="Arial"/>
        </w:rPr>
        <w:t>Submissions and consultation</w:t>
      </w:r>
    </w:p>
    <w:p w14:paraId="5374BDDB" w14:textId="5EE64A3C" w:rsidR="00944415" w:rsidRDefault="00944415" w:rsidP="00EF32B1">
      <w:pPr>
        <w:pStyle w:val="Subtitle"/>
        <w:spacing w:after="160"/>
        <w:jc w:val="both"/>
        <w:rPr>
          <w:rFonts w:ascii="Arial" w:eastAsia="Calibri" w:hAnsi="Arial" w:cs="Arial"/>
          <w:i w:val="0"/>
          <w:iCs w:val="0"/>
          <w:color w:val="auto"/>
          <w:spacing w:val="0"/>
          <w:sz w:val="22"/>
          <w:szCs w:val="22"/>
        </w:rPr>
      </w:pPr>
      <w:r w:rsidRPr="00E4735A">
        <w:rPr>
          <w:rFonts w:ascii="Arial" w:eastAsia="Arial" w:hAnsi="Arial" w:cs="Arial"/>
          <w:i w:val="0"/>
          <w:iCs w:val="0"/>
          <w:color w:val="auto"/>
          <w:spacing w:val="0"/>
          <w:sz w:val="22"/>
          <w:szCs w:val="22"/>
        </w:rPr>
        <w:t>The Tribunal received</w:t>
      </w:r>
      <w:r w:rsidR="00714AB6">
        <w:rPr>
          <w:rFonts w:ascii="Arial" w:eastAsia="Arial" w:hAnsi="Arial" w:cs="Arial"/>
          <w:i w:val="0"/>
          <w:iCs w:val="0"/>
          <w:color w:val="auto"/>
          <w:spacing w:val="0"/>
          <w:sz w:val="22"/>
          <w:szCs w:val="22"/>
        </w:rPr>
        <w:t xml:space="preserve">, and took account of, </w:t>
      </w:r>
      <w:r w:rsidRPr="00E4735A">
        <w:rPr>
          <w:rFonts w:ascii="Arial" w:eastAsia="Arial" w:hAnsi="Arial" w:cs="Arial"/>
          <w:i w:val="0"/>
          <w:iCs w:val="0"/>
          <w:color w:val="auto"/>
          <w:spacing w:val="0"/>
          <w:sz w:val="22"/>
          <w:szCs w:val="22"/>
        </w:rPr>
        <w:t>submissions from the Clerk and the Committee of the Legislative Assembly (the CLA)</w:t>
      </w:r>
      <w:r w:rsidR="00714AB6">
        <w:rPr>
          <w:rFonts w:ascii="Arial" w:eastAsia="Arial" w:hAnsi="Arial" w:cs="Arial"/>
          <w:i w:val="0"/>
          <w:iCs w:val="0"/>
          <w:color w:val="auto"/>
          <w:spacing w:val="0"/>
          <w:sz w:val="22"/>
          <w:szCs w:val="22"/>
        </w:rPr>
        <w:t xml:space="preserve"> in making Determination 27/2023</w:t>
      </w:r>
      <w:r w:rsidRPr="00E4735A">
        <w:rPr>
          <w:rFonts w:ascii="Arial" w:eastAsia="Arial" w:hAnsi="Arial" w:cs="Arial"/>
          <w:i w:val="0"/>
          <w:iCs w:val="0"/>
          <w:color w:val="auto"/>
          <w:spacing w:val="0"/>
          <w:sz w:val="22"/>
          <w:szCs w:val="22"/>
        </w:rPr>
        <w:t xml:space="preserve">. </w:t>
      </w:r>
    </w:p>
    <w:p w14:paraId="4AB92047" w14:textId="77777777" w:rsidR="00E4735A" w:rsidRPr="00E4735A" w:rsidRDefault="00E4735A" w:rsidP="00E4735A">
      <w:pPr>
        <w:rPr>
          <w:lang w:eastAsia="en-AU"/>
        </w:rPr>
      </w:pPr>
    </w:p>
    <w:p w14:paraId="2452777C" w14:textId="35E1AED8" w:rsidR="004759FB" w:rsidRPr="00E4735A" w:rsidRDefault="004759FB" w:rsidP="00E4735A">
      <w:pPr>
        <w:pStyle w:val="Subtitle"/>
        <w:spacing w:after="160"/>
        <w:rPr>
          <w:rFonts w:ascii="Arial" w:hAnsi="Arial" w:cs="Arial"/>
          <w:b/>
          <w:bCs/>
          <w:i w:val="0"/>
          <w:iCs w:val="0"/>
        </w:rPr>
      </w:pPr>
      <w:r w:rsidRPr="00E4735A">
        <w:rPr>
          <w:rFonts w:ascii="Arial" w:hAnsi="Arial" w:cs="Arial"/>
          <w:b/>
          <w:bCs/>
          <w:i w:val="0"/>
          <w:iCs w:val="0"/>
        </w:rPr>
        <w:t>Electorate and Communication Allowance (ECA)</w:t>
      </w:r>
    </w:p>
    <w:p w14:paraId="503760C3" w14:textId="77777777" w:rsidR="00ED6F59" w:rsidRPr="00E4735A" w:rsidRDefault="00ED6F59" w:rsidP="00E4735A">
      <w:pPr>
        <w:spacing w:after="160"/>
        <w:jc w:val="both"/>
        <w:rPr>
          <w:rFonts w:eastAsia="Calibri" w:cs="Arial"/>
          <w:sz w:val="22"/>
        </w:rPr>
      </w:pPr>
      <w:r w:rsidRPr="00E4735A">
        <w:rPr>
          <w:rFonts w:eastAsia="Calibri" w:cs="Arial"/>
          <w:sz w:val="22"/>
        </w:rPr>
        <w:t>The ECA is provided to cover a range of expenditure associated with:</w:t>
      </w:r>
    </w:p>
    <w:p w14:paraId="77880AA7" w14:textId="77777777" w:rsidR="00ED6F59" w:rsidRPr="00EF32B1" w:rsidRDefault="00ED6F59" w:rsidP="001E312F">
      <w:pPr>
        <w:pStyle w:val="ListParagraph"/>
        <w:numPr>
          <w:ilvl w:val="0"/>
          <w:numId w:val="24"/>
        </w:numPr>
        <w:spacing w:after="160"/>
        <w:jc w:val="both"/>
        <w:rPr>
          <w:rFonts w:ascii="Arial" w:eastAsia="Calibri" w:hAnsi="Arial" w:cs="Arial"/>
        </w:rPr>
      </w:pPr>
      <w:r w:rsidRPr="00EF32B1">
        <w:rPr>
          <w:rFonts w:ascii="Arial" w:eastAsia="Calibri" w:hAnsi="Arial" w:cs="Arial"/>
        </w:rPr>
        <w:t>providing constituent assistance and service for the electorate</w:t>
      </w:r>
    </w:p>
    <w:p w14:paraId="390DA580" w14:textId="43BABC09" w:rsidR="00ED6F59" w:rsidRPr="00EF32B1" w:rsidRDefault="00ED6F59" w:rsidP="001E312F">
      <w:pPr>
        <w:pStyle w:val="ListParagraph"/>
        <w:numPr>
          <w:ilvl w:val="0"/>
          <w:numId w:val="24"/>
        </w:numPr>
        <w:spacing w:after="160"/>
        <w:jc w:val="both"/>
        <w:rPr>
          <w:rFonts w:ascii="Arial" w:eastAsia="Calibri" w:hAnsi="Arial" w:cs="Arial"/>
        </w:rPr>
      </w:pPr>
      <w:r w:rsidRPr="00EF32B1">
        <w:rPr>
          <w:rFonts w:ascii="Arial" w:eastAsia="Calibri" w:hAnsi="Arial" w:cs="Arial"/>
        </w:rPr>
        <w:t xml:space="preserve">obtaining and disseminating information to constituents that is relevant to fulfilling </w:t>
      </w:r>
      <w:r w:rsidR="00714AB6">
        <w:rPr>
          <w:rFonts w:ascii="Arial" w:eastAsia="Calibri" w:hAnsi="Arial" w:cs="Arial"/>
        </w:rPr>
        <w:t>a member’s</w:t>
      </w:r>
      <w:r w:rsidR="00714AB6" w:rsidRPr="00EF32B1">
        <w:rPr>
          <w:rFonts w:ascii="Arial" w:eastAsia="Calibri" w:hAnsi="Arial" w:cs="Arial"/>
        </w:rPr>
        <w:t xml:space="preserve"> </w:t>
      </w:r>
      <w:r w:rsidRPr="00EF32B1">
        <w:rPr>
          <w:rFonts w:ascii="Arial" w:eastAsia="Calibri" w:hAnsi="Arial" w:cs="Arial"/>
        </w:rPr>
        <w:t>parliamentary and constituency responsibilities</w:t>
      </w:r>
    </w:p>
    <w:p w14:paraId="5B92EAA7" w14:textId="77777777" w:rsidR="00ED6F59" w:rsidRPr="00EF32B1" w:rsidRDefault="00ED6F59" w:rsidP="001E312F">
      <w:pPr>
        <w:pStyle w:val="ListParagraph"/>
        <w:numPr>
          <w:ilvl w:val="0"/>
          <w:numId w:val="24"/>
        </w:numPr>
        <w:spacing w:after="160"/>
        <w:jc w:val="both"/>
        <w:rPr>
          <w:rFonts w:ascii="Arial" w:eastAsia="Calibri" w:hAnsi="Arial" w:cs="Arial"/>
        </w:rPr>
      </w:pPr>
      <w:r w:rsidRPr="00EF32B1">
        <w:rPr>
          <w:rFonts w:ascii="Arial" w:eastAsia="Calibri" w:hAnsi="Arial" w:cs="Arial"/>
        </w:rPr>
        <w:t>meeti</w:t>
      </w:r>
      <w:r w:rsidRPr="00EF32B1">
        <w:rPr>
          <w:rFonts w:ascii="Arial" w:eastAsia="Calibri" w:hAnsi="Arial" w:cs="Arial"/>
          <w:bCs/>
        </w:rPr>
        <w:t>ng incidental</w:t>
      </w:r>
      <w:r w:rsidRPr="00EF32B1">
        <w:rPr>
          <w:rFonts w:ascii="Arial" w:eastAsia="Calibri" w:hAnsi="Arial" w:cs="Arial"/>
        </w:rPr>
        <w:t xml:space="preserve"> costs relating to the operation of a member’s electorate office. </w:t>
      </w:r>
    </w:p>
    <w:p w14:paraId="2E7E7C05" w14:textId="77777777" w:rsidR="001E312F" w:rsidRDefault="00ED6F59" w:rsidP="00E4735A">
      <w:pPr>
        <w:spacing w:after="160"/>
        <w:jc w:val="both"/>
        <w:rPr>
          <w:rFonts w:eastAsia="Calibri" w:cs="Arial"/>
          <w:sz w:val="22"/>
        </w:rPr>
      </w:pPr>
      <w:r w:rsidRPr="00E4735A">
        <w:rPr>
          <w:rFonts w:eastAsia="Calibri" w:cs="Arial"/>
          <w:sz w:val="22"/>
        </w:rPr>
        <w:t xml:space="preserve">The ECA may not be used </w:t>
      </w:r>
      <w:r w:rsidR="001E312F">
        <w:rPr>
          <w:rFonts w:eastAsia="Calibri" w:cs="Arial"/>
          <w:sz w:val="22"/>
        </w:rPr>
        <w:t xml:space="preserve">to meet expenditure for: </w:t>
      </w:r>
    </w:p>
    <w:p w14:paraId="49E0416F" w14:textId="56E7E15B" w:rsidR="001E312F" w:rsidRPr="00EF32B1" w:rsidRDefault="00ED6F59" w:rsidP="001E312F">
      <w:pPr>
        <w:pStyle w:val="ListParagraph"/>
        <w:numPr>
          <w:ilvl w:val="0"/>
          <w:numId w:val="25"/>
        </w:numPr>
        <w:spacing w:after="160"/>
        <w:jc w:val="both"/>
        <w:rPr>
          <w:rFonts w:ascii="Arial" w:eastAsia="Calibri" w:hAnsi="Arial" w:cs="Arial"/>
        </w:rPr>
      </w:pPr>
      <w:r w:rsidRPr="00EF32B1">
        <w:rPr>
          <w:rFonts w:ascii="Arial" w:eastAsia="Calibri" w:hAnsi="Arial" w:cs="Arial"/>
        </w:rPr>
        <w:t>for private or commercial purposes</w:t>
      </w:r>
      <w:r w:rsidR="001E312F" w:rsidRPr="00EF32B1">
        <w:rPr>
          <w:rFonts w:ascii="Arial" w:eastAsia="Calibri" w:hAnsi="Arial" w:cs="Arial"/>
        </w:rPr>
        <w:t xml:space="preserve"> or to purchase goods and services where the member, or a connect party</w:t>
      </w:r>
      <w:r w:rsidR="00714AB6">
        <w:rPr>
          <w:rFonts w:ascii="Arial" w:eastAsia="Calibri" w:hAnsi="Arial" w:cs="Arial"/>
        </w:rPr>
        <w:t>,</w:t>
      </w:r>
      <w:r w:rsidR="001E312F" w:rsidRPr="00EF32B1">
        <w:rPr>
          <w:rFonts w:ascii="Arial" w:eastAsia="Calibri" w:hAnsi="Arial" w:cs="Arial"/>
        </w:rPr>
        <w:t xml:space="preserve"> is the provider of the goods and services </w:t>
      </w:r>
    </w:p>
    <w:p w14:paraId="55F47DE5" w14:textId="2C2E64CF" w:rsidR="001E312F" w:rsidRPr="00EF32B1" w:rsidRDefault="00ED6F59" w:rsidP="001E312F">
      <w:pPr>
        <w:pStyle w:val="ListParagraph"/>
        <w:numPr>
          <w:ilvl w:val="0"/>
          <w:numId w:val="25"/>
        </w:numPr>
        <w:spacing w:after="160"/>
        <w:jc w:val="both"/>
        <w:rPr>
          <w:rFonts w:ascii="Arial" w:eastAsia="Calibri" w:hAnsi="Arial" w:cs="Arial"/>
        </w:rPr>
      </w:pPr>
      <w:r w:rsidRPr="00EF32B1">
        <w:rPr>
          <w:rFonts w:ascii="Arial" w:eastAsia="Calibri" w:hAnsi="Arial" w:cs="Arial"/>
        </w:rPr>
        <w:t>political party activity</w:t>
      </w:r>
      <w:r w:rsidR="00714AB6">
        <w:rPr>
          <w:rFonts w:ascii="Arial" w:eastAsia="Calibri" w:hAnsi="Arial" w:cs="Arial"/>
        </w:rPr>
        <w:t>; or</w:t>
      </w:r>
      <w:r w:rsidR="001E312F" w:rsidRPr="00EF32B1">
        <w:rPr>
          <w:rFonts w:ascii="Arial" w:eastAsia="Calibri" w:hAnsi="Arial" w:cs="Arial"/>
        </w:rPr>
        <w:t xml:space="preserve"> </w:t>
      </w:r>
    </w:p>
    <w:p w14:paraId="2E40E9A0" w14:textId="1983E379" w:rsidR="00ED6F59" w:rsidRPr="00EF32B1" w:rsidRDefault="00ED6F59" w:rsidP="00EF32B1">
      <w:pPr>
        <w:pStyle w:val="ListParagraph"/>
        <w:numPr>
          <w:ilvl w:val="0"/>
          <w:numId w:val="25"/>
        </w:numPr>
        <w:spacing w:after="160"/>
        <w:jc w:val="both"/>
        <w:rPr>
          <w:rFonts w:eastAsia="Calibri" w:cs="Arial"/>
        </w:rPr>
      </w:pPr>
      <w:r w:rsidRPr="00EF32B1">
        <w:rPr>
          <w:rFonts w:ascii="Arial" w:eastAsia="Calibri" w:hAnsi="Arial" w:cs="Arial"/>
        </w:rPr>
        <w:t>electioneering/campaigning purposes.</w:t>
      </w:r>
    </w:p>
    <w:p w14:paraId="0413D1B7" w14:textId="18BD3A5A" w:rsidR="00ED6F59" w:rsidRPr="00E4735A" w:rsidRDefault="00ED6F59" w:rsidP="00E16950">
      <w:pPr>
        <w:spacing w:after="160"/>
        <w:jc w:val="both"/>
        <w:rPr>
          <w:rFonts w:eastAsia="Calibri" w:cs="Arial"/>
          <w:sz w:val="22"/>
        </w:rPr>
      </w:pPr>
      <w:r w:rsidRPr="00E4735A">
        <w:rPr>
          <w:rFonts w:eastAsia="Calibri" w:cs="Arial"/>
          <w:sz w:val="22"/>
        </w:rPr>
        <w:t xml:space="preserve">Electorates are grouped into four bands based on the following formula which recognises the impact of both </w:t>
      </w:r>
      <w:r w:rsidR="00E16950">
        <w:rPr>
          <w:rFonts w:eastAsia="Calibri" w:cs="Arial"/>
          <w:sz w:val="22"/>
        </w:rPr>
        <w:t xml:space="preserve">number of enrolled electors </w:t>
      </w:r>
      <w:r w:rsidRPr="00E4735A">
        <w:rPr>
          <w:rFonts w:eastAsia="Calibri" w:cs="Arial"/>
          <w:sz w:val="22"/>
        </w:rPr>
        <w:t xml:space="preserve">and land area </w:t>
      </w:r>
      <w:r w:rsidR="00E16950">
        <w:rPr>
          <w:rFonts w:eastAsia="Calibri" w:cs="Arial"/>
          <w:sz w:val="22"/>
        </w:rPr>
        <w:t xml:space="preserve">of the electorate </w:t>
      </w:r>
      <w:r w:rsidRPr="00E4735A">
        <w:rPr>
          <w:rFonts w:eastAsia="Calibri" w:cs="Arial"/>
          <w:sz w:val="22"/>
        </w:rPr>
        <w:t xml:space="preserve">on </w:t>
      </w:r>
      <w:r w:rsidR="00E16950">
        <w:rPr>
          <w:rFonts w:eastAsia="Calibri" w:cs="Arial"/>
          <w:sz w:val="22"/>
        </w:rPr>
        <w:t xml:space="preserve">the </w:t>
      </w:r>
      <w:r w:rsidRPr="00E4735A">
        <w:rPr>
          <w:rFonts w:eastAsia="Calibri" w:cs="Arial"/>
          <w:sz w:val="22"/>
        </w:rPr>
        <w:t>usage of the ECA</w:t>
      </w:r>
      <w:r w:rsidR="0098171B">
        <w:rPr>
          <w:rFonts w:eastAsia="Calibri" w:cs="Arial"/>
          <w:sz w:val="22"/>
        </w:rPr>
        <w:t>:</w:t>
      </w:r>
    </w:p>
    <w:p w14:paraId="313BC7B6" w14:textId="77777777" w:rsidR="00ED6F59" w:rsidRPr="00E4735A" w:rsidRDefault="00ED6F59" w:rsidP="00E4735A">
      <w:pPr>
        <w:spacing w:after="160"/>
        <w:ind w:left="426" w:right="379"/>
        <w:jc w:val="both"/>
        <w:rPr>
          <w:rFonts w:eastAsia="Calibri" w:cs="Arial"/>
          <w:i/>
          <w:iCs/>
          <w:sz w:val="22"/>
        </w:rPr>
      </w:pPr>
      <w:r w:rsidRPr="00E4735A">
        <w:rPr>
          <w:rFonts w:eastAsia="Calibri" w:cs="Arial"/>
          <w:sz w:val="22"/>
        </w:rPr>
        <w:t>Band</w:t>
      </w:r>
      <w:r w:rsidRPr="00E4735A">
        <w:rPr>
          <w:rFonts w:eastAsia="Calibri" w:cs="Arial"/>
          <w:i/>
          <w:iCs/>
          <w:sz w:val="22"/>
        </w:rPr>
        <w:t xml:space="preserve"> = (60 cents per person registered on the electoral roll) + (1.5 cents per square kilometre of electorate area (land only)).</w:t>
      </w:r>
    </w:p>
    <w:p w14:paraId="5D696290" w14:textId="438ADB90" w:rsidR="00ED6F59" w:rsidRPr="00E4735A" w:rsidRDefault="00ED6F59" w:rsidP="00E4735A">
      <w:pPr>
        <w:spacing w:after="160"/>
        <w:jc w:val="both"/>
        <w:rPr>
          <w:rFonts w:eastAsia="Calibri" w:cs="Arial"/>
          <w:sz w:val="22"/>
        </w:rPr>
      </w:pPr>
      <w:r w:rsidRPr="00E4735A">
        <w:rPr>
          <w:rFonts w:eastAsia="Calibri" w:cs="Arial"/>
          <w:sz w:val="22"/>
        </w:rPr>
        <w:t xml:space="preserve">The </w:t>
      </w:r>
      <w:r w:rsidR="00E16950">
        <w:rPr>
          <w:rFonts w:eastAsia="Calibri" w:cs="Arial"/>
          <w:sz w:val="22"/>
        </w:rPr>
        <w:t xml:space="preserve">quantum of </w:t>
      </w:r>
      <w:r w:rsidR="0098171B">
        <w:rPr>
          <w:rFonts w:eastAsia="Calibri" w:cs="Arial"/>
          <w:sz w:val="22"/>
        </w:rPr>
        <w:t xml:space="preserve">ECA </w:t>
      </w:r>
      <w:r w:rsidR="00E16950">
        <w:rPr>
          <w:rFonts w:eastAsia="Calibri" w:cs="Arial"/>
          <w:sz w:val="22"/>
        </w:rPr>
        <w:t xml:space="preserve">for each </w:t>
      </w:r>
      <w:r w:rsidRPr="00E4735A">
        <w:rPr>
          <w:rFonts w:eastAsia="Calibri" w:cs="Arial"/>
          <w:sz w:val="22"/>
        </w:rPr>
        <w:t>band</w:t>
      </w:r>
      <w:r w:rsidR="00E16950">
        <w:rPr>
          <w:rFonts w:eastAsia="Calibri" w:cs="Arial"/>
          <w:sz w:val="22"/>
        </w:rPr>
        <w:t xml:space="preserve"> was set in Determination 21/2020 and is </w:t>
      </w:r>
      <w:r w:rsidRPr="00E4735A">
        <w:rPr>
          <w:rFonts w:eastAsia="Calibri" w:cs="Arial"/>
          <w:sz w:val="22"/>
        </w:rPr>
        <w:t>shown in Table 1.</w:t>
      </w:r>
    </w:p>
    <w:p w14:paraId="2EF71929" w14:textId="540ED4A3" w:rsidR="00ED6F59" w:rsidRDefault="00ED6F59" w:rsidP="00E4735A">
      <w:pPr>
        <w:spacing w:after="0"/>
        <w:jc w:val="both"/>
        <w:rPr>
          <w:rFonts w:eastAsia="Calibri" w:cs="Arial"/>
          <w:b/>
          <w:bCs/>
          <w:sz w:val="18"/>
          <w:szCs w:val="18"/>
        </w:rPr>
      </w:pPr>
      <w:r w:rsidRPr="00E4735A">
        <w:rPr>
          <w:rFonts w:eastAsia="Calibri" w:cs="Arial"/>
          <w:b/>
          <w:bCs/>
          <w:sz w:val="18"/>
          <w:szCs w:val="18"/>
        </w:rPr>
        <w:lastRenderedPageBreak/>
        <w:t xml:space="preserve">Table 1: </w:t>
      </w:r>
      <w:r w:rsidR="00E16950">
        <w:rPr>
          <w:rFonts w:eastAsia="Calibri" w:cs="Arial"/>
          <w:b/>
          <w:bCs/>
          <w:sz w:val="18"/>
          <w:szCs w:val="18"/>
        </w:rPr>
        <w:t xml:space="preserve">Quantum of </w:t>
      </w:r>
      <w:r w:rsidRPr="00E4735A">
        <w:rPr>
          <w:rFonts w:eastAsia="Calibri" w:cs="Arial"/>
          <w:b/>
          <w:bCs/>
          <w:sz w:val="18"/>
          <w:szCs w:val="18"/>
        </w:rPr>
        <w:t xml:space="preserve">ECA </w:t>
      </w:r>
      <w:r w:rsidR="00E16950">
        <w:rPr>
          <w:rFonts w:eastAsia="Calibri" w:cs="Arial"/>
          <w:b/>
          <w:bCs/>
          <w:sz w:val="18"/>
          <w:szCs w:val="18"/>
        </w:rPr>
        <w:t xml:space="preserve">per ECA </w:t>
      </w:r>
      <w:r w:rsidRPr="00E4735A">
        <w:rPr>
          <w:rFonts w:eastAsia="Calibri" w:cs="Arial"/>
          <w:b/>
          <w:bCs/>
          <w:sz w:val="18"/>
          <w:szCs w:val="18"/>
        </w:rPr>
        <w:t xml:space="preserve">band </w:t>
      </w:r>
    </w:p>
    <w:p w14:paraId="58005877" w14:textId="77777777" w:rsidR="00B67C9F" w:rsidRPr="00E4735A" w:rsidRDefault="00B67C9F" w:rsidP="00E4735A">
      <w:pPr>
        <w:spacing w:after="0"/>
        <w:jc w:val="both"/>
        <w:rPr>
          <w:rFonts w:eastAsia="Calibri" w:cs="Arial"/>
          <w:b/>
          <w:bCs/>
          <w:sz w:val="18"/>
          <w:szCs w:val="18"/>
        </w:rPr>
      </w:pPr>
    </w:p>
    <w:tbl>
      <w:tblPr>
        <w:tblStyle w:val="TableGrid"/>
        <w:tblW w:w="0" w:type="auto"/>
        <w:tblInd w:w="-5" w:type="dxa"/>
        <w:tblLook w:val="04A0" w:firstRow="1" w:lastRow="0" w:firstColumn="1" w:lastColumn="0" w:noHBand="0" w:noVBand="1"/>
      </w:tblPr>
      <w:tblGrid>
        <w:gridCol w:w="2268"/>
        <w:gridCol w:w="6521"/>
      </w:tblGrid>
      <w:tr w:rsidR="00ED6F59" w:rsidRPr="00E4735A" w14:paraId="7D48A04C" w14:textId="77777777" w:rsidTr="00805909">
        <w:tc>
          <w:tcPr>
            <w:tcW w:w="226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588D147B" w14:textId="77777777" w:rsidR="00ED6F59" w:rsidRPr="00DF3065" w:rsidRDefault="00ED6F59" w:rsidP="002C239F">
            <w:pPr>
              <w:spacing w:after="160"/>
              <w:rPr>
                <w:rFonts w:eastAsia="Calibri" w:cs="Arial"/>
                <w:b/>
                <w:bCs/>
                <w:sz w:val="18"/>
                <w:szCs w:val="18"/>
              </w:rPr>
            </w:pPr>
            <w:r w:rsidRPr="00DF3065">
              <w:rPr>
                <w:rFonts w:eastAsia="Calibri" w:cs="Arial"/>
                <w:b/>
                <w:bCs/>
                <w:sz w:val="18"/>
                <w:szCs w:val="18"/>
              </w:rPr>
              <w:t>Band</w:t>
            </w:r>
          </w:p>
        </w:tc>
        <w:tc>
          <w:tcPr>
            <w:tcW w:w="652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82EFA64" w14:textId="77777777" w:rsidR="00ED6F59" w:rsidRPr="00DF3065" w:rsidRDefault="00ED6F59" w:rsidP="002C239F">
            <w:pPr>
              <w:spacing w:after="160"/>
              <w:rPr>
                <w:rFonts w:eastAsia="Calibri" w:cs="Arial"/>
                <w:b/>
                <w:bCs/>
                <w:sz w:val="18"/>
                <w:szCs w:val="18"/>
              </w:rPr>
            </w:pPr>
            <w:r w:rsidRPr="00DF3065">
              <w:rPr>
                <w:rFonts w:eastAsia="Calibri" w:cs="Arial"/>
                <w:b/>
                <w:bCs/>
                <w:sz w:val="18"/>
                <w:szCs w:val="18"/>
              </w:rPr>
              <w:t>Quantum of ECA for each Band</w:t>
            </w:r>
          </w:p>
        </w:tc>
      </w:tr>
      <w:tr w:rsidR="00ED6F59" w:rsidRPr="00E4735A" w14:paraId="7D7CFAF2" w14:textId="77777777" w:rsidTr="00805909">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63A78DF" w14:textId="77777777" w:rsidR="00ED6F59" w:rsidRPr="00DF3065" w:rsidRDefault="00ED6F59" w:rsidP="002C239F">
            <w:pPr>
              <w:spacing w:after="160"/>
              <w:rPr>
                <w:rFonts w:eastAsia="Calibri" w:cs="Arial"/>
                <w:sz w:val="18"/>
                <w:szCs w:val="18"/>
              </w:rPr>
            </w:pPr>
            <w:r w:rsidRPr="00DF3065">
              <w:rPr>
                <w:rFonts w:eastAsia="Calibri" w:cs="Arial"/>
                <w:sz w:val="18"/>
                <w:szCs w:val="18"/>
              </w:rPr>
              <w:t>1</w:t>
            </w:r>
          </w:p>
        </w:tc>
        <w:tc>
          <w:tcPr>
            <w:tcW w:w="6521" w:type="dxa"/>
            <w:tcBorders>
              <w:top w:val="single" w:sz="4" w:space="0" w:color="auto"/>
              <w:left w:val="single" w:sz="4" w:space="0" w:color="auto"/>
              <w:bottom w:val="single" w:sz="4" w:space="0" w:color="auto"/>
              <w:right w:val="single" w:sz="4" w:space="0" w:color="auto"/>
            </w:tcBorders>
            <w:hideMark/>
          </w:tcPr>
          <w:p w14:paraId="51211705" w14:textId="77777777" w:rsidR="00ED6F59" w:rsidRPr="00DF3065" w:rsidRDefault="00ED6F59" w:rsidP="002C239F">
            <w:pPr>
              <w:spacing w:after="160"/>
              <w:rPr>
                <w:rFonts w:eastAsia="Calibri" w:cs="Arial"/>
                <w:sz w:val="18"/>
                <w:szCs w:val="18"/>
              </w:rPr>
            </w:pPr>
            <w:r w:rsidRPr="00DF3065">
              <w:rPr>
                <w:rFonts w:eastAsia="Calibri" w:cs="Arial"/>
                <w:sz w:val="18"/>
                <w:szCs w:val="18"/>
              </w:rPr>
              <w:t>$89,200</w:t>
            </w:r>
          </w:p>
        </w:tc>
      </w:tr>
      <w:tr w:rsidR="00ED6F59" w:rsidRPr="00E4735A" w14:paraId="0C1B22A2" w14:textId="77777777" w:rsidTr="00805909">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EB417D7" w14:textId="77777777" w:rsidR="00ED6F59" w:rsidRPr="00DF3065" w:rsidRDefault="00ED6F59" w:rsidP="002C239F">
            <w:pPr>
              <w:spacing w:after="160"/>
              <w:rPr>
                <w:rFonts w:eastAsia="Calibri" w:cs="Arial"/>
                <w:sz w:val="18"/>
                <w:szCs w:val="18"/>
              </w:rPr>
            </w:pPr>
            <w:r w:rsidRPr="00DF3065">
              <w:rPr>
                <w:rFonts w:eastAsia="Calibri" w:cs="Arial"/>
                <w:sz w:val="18"/>
                <w:szCs w:val="18"/>
              </w:rPr>
              <w:t>2</w:t>
            </w:r>
          </w:p>
        </w:tc>
        <w:tc>
          <w:tcPr>
            <w:tcW w:w="6521" w:type="dxa"/>
            <w:tcBorders>
              <w:top w:val="single" w:sz="4" w:space="0" w:color="auto"/>
              <w:left w:val="single" w:sz="4" w:space="0" w:color="auto"/>
              <w:bottom w:val="single" w:sz="4" w:space="0" w:color="auto"/>
              <w:right w:val="single" w:sz="4" w:space="0" w:color="auto"/>
            </w:tcBorders>
            <w:hideMark/>
          </w:tcPr>
          <w:p w14:paraId="044953A9" w14:textId="77777777" w:rsidR="00ED6F59" w:rsidRPr="00DF3065" w:rsidRDefault="00ED6F59" w:rsidP="002C239F">
            <w:pPr>
              <w:spacing w:after="160"/>
              <w:rPr>
                <w:rFonts w:eastAsia="Calibri" w:cs="Arial"/>
                <w:sz w:val="18"/>
                <w:szCs w:val="18"/>
              </w:rPr>
            </w:pPr>
            <w:r w:rsidRPr="00DF3065">
              <w:rPr>
                <w:rFonts w:eastAsia="Calibri" w:cs="Arial"/>
                <w:sz w:val="18"/>
                <w:szCs w:val="18"/>
              </w:rPr>
              <w:t>$90,900</w:t>
            </w:r>
          </w:p>
        </w:tc>
      </w:tr>
      <w:tr w:rsidR="00ED6F59" w:rsidRPr="00E4735A" w14:paraId="231B4969" w14:textId="77777777" w:rsidTr="00805909">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80C6916" w14:textId="77777777" w:rsidR="00ED6F59" w:rsidRPr="00DF3065" w:rsidRDefault="00ED6F59" w:rsidP="002C239F">
            <w:pPr>
              <w:spacing w:after="160"/>
              <w:rPr>
                <w:rFonts w:eastAsia="Calibri" w:cs="Arial"/>
                <w:sz w:val="18"/>
                <w:szCs w:val="18"/>
              </w:rPr>
            </w:pPr>
            <w:r w:rsidRPr="00DF3065">
              <w:rPr>
                <w:rFonts w:eastAsia="Calibri" w:cs="Arial"/>
                <w:sz w:val="18"/>
                <w:szCs w:val="18"/>
              </w:rPr>
              <w:t>3</w:t>
            </w:r>
          </w:p>
        </w:tc>
        <w:tc>
          <w:tcPr>
            <w:tcW w:w="6521" w:type="dxa"/>
            <w:tcBorders>
              <w:top w:val="single" w:sz="4" w:space="0" w:color="auto"/>
              <w:left w:val="single" w:sz="4" w:space="0" w:color="auto"/>
              <w:bottom w:val="single" w:sz="4" w:space="0" w:color="auto"/>
              <w:right w:val="single" w:sz="4" w:space="0" w:color="auto"/>
            </w:tcBorders>
            <w:hideMark/>
          </w:tcPr>
          <w:p w14:paraId="22A15A8B" w14:textId="77777777" w:rsidR="00ED6F59" w:rsidRPr="00DF3065" w:rsidRDefault="00ED6F59" w:rsidP="002C239F">
            <w:pPr>
              <w:spacing w:after="160"/>
              <w:rPr>
                <w:rFonts w:eastAsia="Calibri" w:cs="Arial"/>
                <w:sz w:val="18"/>
                <w:szCs w:val="18"/>
              </w:rPr>
            </w:pPr>
            <w:r w:rsidRPr="00DF3065">
              <w:rPr>
                <w:rFonts w:eastAsia="Calibri" w:cs="Arial"/>
                <w:sz w:val="18"/>
                <w:szCs w:val="18"/>
              </w:rPr>
              <w:t>$93,400</w:t>
            </w:r>
          </w:p>
        </w:tc>
      </w:tr>
      <w:tr w:rsidR="00ED6F59" w:rsidRPr="00E4735A" w14:paraId="26EF1FFF" w14:textId="77777777" w:rsidTr="00805909">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DBFC7C" w14:textId="77777777" w:rsidR="00ED6F59" w:rsidRPr="00DF3065" w:rsidRDefault="00ED6F59" w:rsidP="002C239F">
            <w:pPr>
              <w:spacing w:after="160"/>
              <w:rPr>
                <w:rFonts w:eastAsia="Calibri" w:cs="Arial"/>
                <w:sz w:val="18"/>
                <w:szCs w:val="18"/>
              </w:rPr>
            </w:pPr>
            <w:r w:rsidRPr="00DF3065">
              <w:rPr>
                <w:rFonts w:eastAsia="Calibri" w:cs="Arial"/>
                <w:sz w:val="18"/>
                <w:szCs w:val="18"/>
              </w:rPr>
              <w:t>4</w:t>
            </w:r>
          </w:p>
        </w:tc>
        <w:tc>
          <w:tcPr>
            <w:tcW w:w="6521" w:type="dxa"/>
            <w:tcBorders>
              <w:top w:val="single" w:sz="4" w:space="0" w:color="auto"/>
              <w:left w:val="single" w:sz="4" w:space="0" w:color="auto"/>
              <w:bottom w:val="single" w:sz="4" w:space="0" w:color="auto"/>
              <w:right w:val="single" w:sz="4" w:space="0" w:color="auto"/>
            </w:tcBorders>
            <w:hideMark/>
          </w:tcPr>
          <w:p w14:paraId="66A36F3B" w14:textId="77777777" w:rsidR="00ED6F59" w:rsidRPr="00DF3065" w:rsidRDefault="00ED6F59" w:rsidP="002C239F">
            <w:pPr>
              <w:spacing w:after="160"/>
              <w:rPr>
                <w:rFonts w:eastAsia="Calibri" w:cs="Arial"/>
                <w:sz w:val="18"/>
                <w:szCs w:val="18"/>
              </w:rPr>
            </w:pPr>
            <w:r w:rsidRPr="00DF3065">
              <w:rPr>
                <w:rFonts w:eastAsia="Calibri" w:cs="Arial"/>
                <w:sz w:val="18"/>
                <w:szCs w:val="18"/>
              </w:rPr>
              <w:t>$95,200</w:t>
            </w:r>
          </w:p>
        </w:tc>
      </w:tr>
    </w:tbl>
    <w:p w14:paraId="3CF205EA" w14:textId="77777777" w:rsidR="00E16950" w:rsidRPr="00EF32B1" w:rsidRDefault="00E16950" w:rsidP="00E4735A">
      <w:pPr>
        <w:spacing w:after="160"/>
        <w:jc w:val="both"/>
        <w:rPr>
          <w:rFonts w:cs="Arial"/>
          <w:sz w:val="22"/>
        </w:rPr>
      </w:pPr>
    </w:p>
    <w:p w14:paraId="662CEBFD" w14:textId="2FC43CD8" w:rsidR="00ED6F59" w:rsidRPr="00EF32B1" w:rsidRDefault="00ED6F59" w:rsidP="00EF32B1">
      <w:pPr>
        <w:spacing w:after="160"/>
        <w:jc w:val="both"/>
        <w:rPr>
          <w:rFonts w:cs="Arial"/>
          <w:bCs/>
          <w:sz w:val="22"/>
        </w:rPr>
      </w:pPr>
      <w:r w:rsidRPr="00EF32B1">
        <w:rPr>
          <w:rFonts w:cs="Arial"/>
          <w:bCs/>
          <w:sz w:val="22"/>
        </w:rPr>
        <w:t>Members representing an electoral district of 100,000km</w:t>
      </w:r>
      <w:r w:rsidRPr="00EF32B1">
        <w:rPr>
          <w:rFonts w:cs="Arial"/>
          <w:bCs/>
          <w:sz w:val="22"/>
          <w:vertAlign w:val="superscript"/>
        </w:rPr>
        <w:t xml:space="preserve">2 </w:t>
      </w:r>
      <w:r w:rsidRPr="00EF32B1">
        <w:rPr>
          <w:rFonts w:cs="Arial"/>
          <w:bCs/>
          <w:sz w:val="22"/>
        </w:rPr>
        <w:t>or more can elect to be provided with an additional electorate office. If the member has a second electorate office, they receive an additional $1,500 per annum to supplement the ECA for electorate office cleaning costs (</w:t>
      </w:r>
      <w:r w:rsidRPr="00EF32B1">
        <w:rPr>
          <w:rFonts w:cs="Arial"/>
          <w:bCs/>
          <w:i/>
          <w:iCs/>
          <w:sz w:val="22"/>
        </w:rPr>
        <w:t>Determination 16/2017 refers</w:t>
      </w:r>
      <w:r w:rsidRPr="00EF32B1">
        <w:rPr>
          <w:rFonts w:cs="Arial"/>
          <w:bCs/>
          <w:sz w:val="22"/>
        </w:rPr>
        <w:t xml:space="preserve">). </w:t>
      </w:r>
    </w:p>
    <w:p w14:paraId="57751831" w14:textId="34F668AB" w:rsidR="00E16950" w:rsidRDefault="00ED6F59" w:rsidP="00E16950">
      <w:pPr>
        <w:spacing w:after="160"/>
        <w:jc w:val="both"/>
        <w:rPr>
          <w:rFonts w:cs="Arial"/>
          <w:bCs/>
          <w:sz w:val="22"/>
        </w:rPr>
      </w:pPr>
      <w:r w:rsidRPr="00EF32B1">
        <w:rPr>
          <w:rFonts w:cs="Arial"/>
          <w:bCs/>
          <w:sz w:val="22"/>
        </w:rPr>
        <w:t>In Determination 26/2022</w:t>
      </w:r>
      <w:r w:rsidR="00B67C9F">
        <w:rPr>
          <w:rFonts w:cs="Arial"/>
          <w:bCs/>
          <w:sz w:val="22"/>
        </w:rPr>
        <w:t>,</w:t>
      </w:r>
      <w:r w:rsidRPr="00EF32B1">
        <w:rPr>
          <w:rFonts w:cs="Arial"/>
          <w:bCs/>
          <w:sz w:val="22"/>
        </w:rPr>
        <w:t xml:space="preserve"> the Tribunal determined to provide a ‘</w:t>
      </w:r>
      <w:r w:rsidR="0098171B" w:rsidRPr="00EF32B1">
        <w:rPr>
          <w:rFonts w:cs="Arial"/>
          <w:bCs/>
          <w:sz w:val="22"/>
        </w:rPr>
        <w:t>H</w:t>
      </w:r>
      <w:r w:rsidRPr="00EF32B1">
        <w:rPr>
          <w:rFonts w:cs="Arial"/>
          <w:bCs/>
          <w:sz w:val="22"/>
        </w:rPr>
        <w:t xml:space="preserve">igh </w:t>
      </w:r>
      <w:r w:rsidR="0098171B" w:rsidRPr="00EF32B1">
        <w:rPr>
          <w:rFonts w:cs="Arial"/>
          <w:bCs/>
          <w:sz w:val="22"/>
        </w:rPr>
        <w:t>E</w:t>
      </w:r>
      <w:r w:rsidRPr="00EF32B1">
        <w:rPr>
          <w:rFonts w:cs="Arial"/>
          <w:bCs/>
          <w:sz w:val="22"/>
        </w:rPr>
        <w:t xml:space="preserve">nrolment </w:t>
      </w:r>
      <w:r w:rsidR="0098171B" w:rsidRPr="00EF32B1">
        <w:rPr>
          <w:rFonts w:cs="Arial"/>
          <w:bCs/>
          <w:sz w:val="22"/>
        </w:rPr>
        <w:t>S</w:t>
      </w:r>
      <w:r w:rsidRPr="00EF32B1">
        <w:rPr>
          <w:rFonts w:cs="Arial"/>
          <w:bCs/>
          <w:sz w:val="22"/>
        </w:rPr>
        <w:t>upplement’ of $2,500 per financial year to members if</w:t>
      </w:r>
      <w:r w:rsidR="00E16950">
        <w:rPr>
          <w:rFonts w:cs="Arial"/>
          <w:bCs/>
          <w:sz w:val="22"/>
        </w:rPr>
        <w:t xml:space="preserve">: </w:t>
      </w:r>
    </w:p>
    <w:p w14:paraId="1328B1B0" w14:textId="794BA89A" w:rsidR="00E16950" w:rsidRDefault="00ED6F59" w:rsidP="00E16950">
      <w:pPr>
        <w:pStyle w:val="ListParagraph"/>
        <w:numPr>
          <w:ilvl w:val="0"/>
          <w:numId w:val="26"/>
        </w:numPr>
        <w:spacing w:after="160"/>
        <w:jc w:val="both"/>
        <w:rPr>
          <w:rFonts w:ascii="Arial" w:hAnsi="Arial" w:cs="Arial"/>
          <w:bCs/>
        </w:rPr>
      </w:pPr>
      <w:r w:rsidRPr="00EF32B1">
        <w:rPr>
          <w:rFonts w:ascii="Arial" w:hAnsi="Arial" w:cs="Arial"/>
          <w:bCs/>
        </w:rPr>
        <w:t xml:space="preserve">their electorate is in </w:t>
      </w:r>
      <w:r w:rsidR="00E16950">
        <w:rPr>
          <w:rFonts w:ascii="Arial" w:hAnsi="Arial" w:cs="Arial"/>
          <w:bCs/>
        </w:rPr>
        <w:t xml:space="preserve">ECA </w:t>
      </w:r>
      <w:r w:rsidRPr="00EF32B1">
        <w:rPr>
          <w:rFonts w:ascii="Arial" w:hAnsi="Arial" w:cs="Arial"/>
          <w:bCs/>
        </w:rPr>
        <w:t>Band 4</w:t>
      </w:r>
      <w:r w:rsidR="00E16950">
        <w:rPr>
          <w:rFonts w:ascii="Arial" w:hAnsi="Arial" w:cs="Arial"/>
          <w:bCs/>
        </w:rPr>
        <w:t xml:space="preserve">; </w:t>
      </w:r>
      <w:r w:rsidRPr="003B503D">
        <w:rPr>
          <w:rFonts w:ascii="Arial" w:hAnsi="Arial" w:cs="Arial"/>
          <w:bCs/>
        </w:rPr>
        <w:t>and</w:t>
      </w:r>
      <w:r w:rsidRPr="00EF32B1">
        <w:rPr>
          <w:rFonts w:ascii="Arial" w:hAnsi="Arial" w:cs="Arial"/>
          <w:bCs/>
        </w:rPr>
        <w:t xml:space="preserve"> </w:t>
      </w:r>
    </w:p>
    <w:p w14:paraId="41270531" w14:textId="2F218EEC" w:rsidR="00ED6F59" w:rsidRPr="00E16950" w:rsidRDefault="00ED6F59" w:rsidP="00EF32B1">
      <w:pPr>
        <w:pStyle w:val="ListParagraph"/>
        <w:numPr>
          <w:ilvl w:val="0"/>
          <w:numId w:val="26"/>
        </w:numPr>
        <w:spacing w:after="160"/>
        <w:jc w:val="both"/>
        <w:rPr>
          <w:rFonts w:ascii="Arial" w:hAnsi="Arial" w:cs="Arial"/>
          <w:bCs/>
        </w:rPr>
      </w:pPr>
      <w:r w:rsidRPr="00EF32B1">
        <w:rPr>
          <w:rFonts w:ascii="Arial" w:hAnsi="Arial" w:cs="Arial"/>
          <w:bCs/>
        </w:rPr>
        <w:t>the number of electors is 25% or more above the quota</w:t>
      </w:r>
      <w:r w:rsidR="00E16950">
        <w:rPr>
          <w:rFonts w:ascii="Arial" w:hAnsi="Arial" w:cs="Arial"/>
          <w:bCs/>
        </w:rPr>
        <w:t xml:space="preserve">, </w:t>
      </w:r>
      <w:r w:rsidRPr="00EF32B1">
        <w:rPr>
          <w:rFonts w:ascii="Arial" w:hAnsi="Arial" w:cs="Arial"/>
          <w:bCs/>
        </w:rPr>
        <w:t xml:space="preserve">over a period of six consecutive months, determined in accordance with </w:t>
      </w:r>
      <w:r w:rsidR="00E16950">
        <w:rPr>
          <w:rFonts w:ascii="Arial" w:hAnsi="Arial" w:cs="Arial"/>
          <w:bCs/>
        </w:rPr>
        <w:t xml:space="preserve">the </w:t>
      </w:r>
      <w:r w:rsidR="00E16950" w:rsidRPr="006B331A">
        <w:rPr>
          <w:rFonts w:ascii="Arial" w:hAnsi="Arial" w:cs="Arial"/>
          <w:bCs/>
        </w:rPr>
        <w:t>Electoral Commission of Queensland</w:t>
      </w:r>
      <w:r w:rsidR="00E16950" w:rsidRPr="00E16950" w:rsidDel="00E16950">
        <w:rPr>
          <w:rFonts w:ascii="Arial" w:hAnsi="Arial" w:cs="Arial"/>
          <w:bCs/>
        </w:rPr>
        <w:t xml:space="preserve"> </w:t>
      </w:r>
      <w:r w:rsidRPr="00EF32B1">
        <w:rPr>
          <w:rFonts w:ascii="Arial" w:hAnsi="Arial" w:cs="Arial"/>
          <w:bCs/>
        </w:rPr>
        <w:t>monthly enrolment data</w:t>
      </w:r>
      <w:r w:rsidRPr="00E16950">
        <w:rPr>
          <w:rFonts w:ascii="Arial" w:hAnsi="Arial" w:cs="Arial"/>
          <w:bCs/>
        </w:rPr>
        <w:t xml:space="preserve">. </w:t>
      </w:r>
    </w:p>
    <w:p w14:paraId="149420D3" w14:textId="4B5DC3D9" w:rsidR="003368C0" w:rsidRPr="00E4735A" w:rsidRDefault="003368C0" w:rsidP="003368C0">
      <w:pPr>
        <w:pStyle w:val="Subtitle"/>
        <w:numPr>
          <w:ilvl w:val="0"/>
          <w:numId w:val="0"/>
        </w:numPr>
        <w:spacing w:after="160"/>
        <w:rPr>
          <w:rFonts w:ascii="Arial" w:hAnsi="Arial" w:cs="Arial"/>
        </w:rPr>
      </w:pPr>
      <w:r w:rsidRPr="00E4735A">
        <w:rPr>
          <w:rFonts w:ascii="Arial" w:hAnsi="Arial" w:cs="Arial"/>
        </w:rPr>
        <w:t>E</w:t>
      </w:r>
      <w:r>
        <w:rPr>
          <w:rFonts w:ascii="Arial" w:hAnsi="Arial" w:cs="Arial"/>
        </w:rPr>
        <w:t>CA bands and electoral roll data</w:t>
      </w:r>
    </w:p>
    <w:p w14:paraId="72BD683A" w14:textId="3B76EE4F" w:rsidR="003368C0" w:rsidRPr="00EF32B1" w:rsidRDefault="003368C0" w:rsidP="003368C0">
      <w:pPr>
        <w:spacing w:after="160"/>
        <w:jc w:val="both"/>
        <w:rPr>
          <w:rFonts w:cs="Arial"/>
          <w:i/>
          <w:iCs/>
          <w:sz w:val="22"/>
        </w:rPr>
      </w:pPr>
      <w:r>
        <w:rPr>
          <w:rFonts w:eastAsia="Calibri" w:cs="Arial"/>
          <w:sz w:val="22"/>
        </w:rPr>
        <w:t>Consistent with the Tribunal’s previous commitment to review the electoral roll data, the Tribunal reviewed the electoral roll data as at 30 November 202</w:t>
      </w:r>
      <w:r w:rsidR="00EF32B1">
        <w:rPr>
          <w:rFonts w:eastAsia="Calibri" w:cs="Arial"/>
          <w:sz w:val="22"/>
        </w:rPr>
        <w:t>2</w:t>
      </w:r>
      <w:r w:rsidR="00B67C9F">
        <w:rPr>
          <w:rFonts w:eastAsia="Calibri" w:cs="Arial"/>
          <w:sz w:val="22"/>
        </w:rPr>
        <w:t xml:space="preserve"> and </w:t>
      </w:r>
      <w:r>
        <w:rPr>
          <w:rFonts w:eastAsia="Calibri"/>
          <w:sz w:val="22"/>
        </w:rPr>
        <w:t>decided to review the electoral data again in August 2023.</w:t>
      </w:r>
    </w:p>
    <w:p w14:paraId="75DB4320" w14:textId="393CC940" w:rsidR="005926FD" w:rsidRPr="00E4735A" w:rsidRDefault="005926FD" w:rsidP="00E4735A">
      <w:pPr>
        <w:pStyle w:val="Subtitle"/>
        <w:numPr>
          <w:ilvl w:val="0"/>
          <w:numId w:val="0"/>
        </w:numPr>
        <w:spacing w:after="160"/>
        <w:rPr>
          <w:rFonts w:ascii="Arial" w:hAnsi="Arial" w:cs="Arial"/>
        </w:rPr>
      </w:pPr>
      <w:r w:rsidRPr="00E4735A">
        <w:rPr>
          <w:rFonts w:ascii="Arial" w:hAnsi="Arial" w:cs="Arial"/>
        </w:rPr>
        <w:t>Expenditure of the ECA</w:t>
      </w:r>
    </w:p>
    <w:p w14:paraId="017F4A53" w14:textId="3383D63A" w:rsidR="00ED6F59" w:rsidRPr="00A46C83" w:rsidRDefault="00ED6F59" w:rsidP="00E4735A">
      <w:pPr>
        <w:spacing w:after="160"/>
        <w:jc w:val="both"/>
        <w:rPr>
          <w:rFonts w:cs="Arial"/>
          <w:i/>
          <w:iCs/>
          <w:sz w:val="22"/>
        </w:rPr>
      </w:pPr>
      <w:r w:rsidRPr="00A46C83">
        <w:rPr>
          <w:rFonts w:eastAsia="Calibri" w:cs="Arial"/>
          <w:sz w:val="22"/>
        </w:rPr>
        <w:t xml:space="preserve">The </w:t>
      </w:r>
      <w:r w:rsidRPr="00E75091">
        <w:rPr>
          <w:rFonts w:cs="Arial"/>
          <w:i/>
          <w:iCs/>
          <w:sz w:val="22"/>
        </w:rPr>
        <w:t>Annual Report of Electorate and Communication Allowance Expenditure by Members of the Legislative Assembly 1 July 2021 – 30 June 2022</w:t>
      </w:r>
      <w:r w:rsidR="002317FC" w:rsidRPr="00E75091">
        <w:rPr>
          <w:vertAlign w:val="superscript"/>
        </w:rPr>
        <w:t xml:space="preserve"> </w:t>
      </w:r>
      <w:r w:rsidR="002317FC" w:rsidRPr="00E75091">
        <w:rPr>
          <w:rFonts w:cs="Arial"/>
          <w:sz w:val="22"/>
        </w:rPr>
        <w:t>(the</w:t>
      </w:r>
      <w:r w:rsidR="002317FC" w:rsidRPr="003B503D">
        <w:rPr>
          <w:rFonts w:eastAsia="Calibri"/>
          <w:sz w:val="22"/>
        </w:rPr>
        <w:t xml:space="preserve"> 2021 -</w:t>
      </w:r>
      <w:r w:rsidR="003368C0" w:rsidRPr="00A46C83">
        <w:rPr>
          <w:rFonts w:eastAsia="Calibri"/>
          <w:sz w:val="22"/>
        </w:rPr>
        <w:t xml:space="preserve"> </w:t>
      </w:r>
      <w:r w:rsidR="002317FC" w:rsidRPr="003B503D">
        <w:rPr>
          <w:rFonts w:eastAsia="Calibri"/>
          <w:sz w:val="22"/>
        </w:rPr>
        <w:t>22 Annual Report of ECA Expenditure) was tabled by the Clerk of the Legislative Assembly on</w:t>
      </w:r>
      <w:r w:rsidR="002317FC" w:rsidRPr="00A46C83">
        <w:rPr>
          <w:rStyle w:val="Hyperlink"/>
          <w:rFonts w:cs="Arial"/>
          <w:sz w:val="22"/>
          <w:u w:val="none"/>
        </w:rPr>
        <w:t xml:space="preserve"> </w:t>
      </w:r>
      <w:r w:rsidR="002317FC" w:rsidRPr="00A46C83">
        <w:rPr>
          <w:rFonts w:cs="Arial"/>
          <w:sz w:val="22"/>
          <w:lang w:val="en-GB"/>
        </w:rPr>
        <w:t>16 September 2022</w:t>
      </w:r>
      <w:r w:rsidRPr="00A46C83">
        <w:rPr>
          <w:rFonts w:cs="Arial"/>
          <w:i/>
          <w:iCs/>
          <w:sz w:val="22"/>
        </w:rPr>
        <w:t xml:space="preserve">. </w:t>
      </w:r>
    </w:p>
    <w:p w14:paraId="7DD39308" w14:textId="77777777" w:rsidR="00842B48" w:rsidRPr="00E16950" w:rsidRDefault="00842B48" w:rsidP="00842B48">
      <w:pPr>
        <w:spacing w:after="160"/>
        <w:jc w:val="both"/>
        <w:rPr>
          <w:rFonts w:eastAsia="Calibri" w:cs="Arial"/>
          <w:sz w:val="22"/>
        </w:rPr>
      </w:pPr>
      <w:r w:rsidRPr="00E16950">
        <w:rPr>
          <w:rFonts w:eastAsia="Calibri" w:cs="Arial"/>
          <w:sz w:val="22"/>
        </w:rPr>
        <w:t>The ECA is divided into seven categories of expenditure for acquittal and reporting purposes:</w:t>
      </w:r>
    </w:p>
    <w:p w14:paraId="38BC838E" w14:textId="77777777" w:rsidR="00842B48" w:rsidRPr="00E16950" w:rsidRDefault="00842B48" w:rsidP="00842B48">
      <w:pPr>
        <w:pStyle w:val="ListParagraph"/>
        <w:numPr>
          <w:ilvl w:val="0"/>
          <w:numId w:val="11"/>
        </w:numPr>
        <w:spacing w:after="160"/>
        <w:jc w:val="both"/>
        <w:rPr>
          <w:rFonts w:ascii="Arial" w:eastAsia="Calibri" w:hAnsi="Arial" w:cs="Arial"/>
        </w:rPr>
        <w:sectPr w:rsidR="00842B48" w:rsidRPr="00E16950" w:rsidSect="008322F0">
          <w:headerReference w:type="default" r:id="rId8"/>
          <w:footerReference w:type="default" r:id="rId9"/>
          <w:headerReference w:type="first" r:id="rId10"/>
          <w:type w:val="continuous"/>
          <w:pgSz w:w="11906" w:h="16838"/>
          <w:pgMar w:top="1440" w:right="991" w:bottom="851" w:left="1440" w:header="709" w:footer="448" w:gutter="0"/>
          <w:pgNumType w:start="0"/>
          <w:cols w:space="708"/>
          <w:titlePg/>
          <w:docGrid w:linePitch="360"/>
        </w:sectPr>
      </w:pPr>
    </w:p>
    <w:p w14:paraId="330FBCEC" w14:textId="77777777" w:rsidR="00842B48" w:rsidRPr="00EF32B1" w:rsidRDefault="00842B48" w:rsidP="00EF32B1">
      <w:pPr>
        <w:pStyle w:val="ListParagraph"/>
        <w:numPr>
          <w:ilvl w:val="0"/>
          <w:numId w:val="27"/>
        </w:numPr>
        <w:spacing w:after="160"/>
        <w:rPr>
          <w:rFonts w:ascii="Arial" w:eastAsia="Calibri" w:hAnsi="Arial" w:cs="Arial"/>
        </w:rPr>
      </w:pPr>
      <w:r w:rsidRPr="00EF32B1">
        <w:rPr>
          <w:rFonts w:ascii="Arial" w:eastAsia="Calibri" w:hAnsi="Arial" w:cs="Arial"/>
        </w:rPr>
        <w:t>support for constituents and organisations</w:t>
      </w:r>
    </w:p>
    <w:p w14:paraId="7DCF7782" w14:textId="77777777" w:rsidR="00842B48" w:rsidRPr="00EF32B1" w:rsidRDefault="00842B48" w:rsidP="00EF32B1">
      <w:pPr>
        <w:pStyle w:val="ListParagraph"/>
        <w:numPr>
          <w:ilvl w:val="0"/>
          <w:numId w:val="27"/>
        </w:numPr>
        <w:spacing w:after="160"/>
        <w:rPr>
          <w:rFonts w:ascii="Arial" w:eastAsia="Calibri" w:hAnsi="Arial" w:cs="Arial"/>
        </w:rPr>
      </w:pPr>
      <w:r w:rsidRPr="00EF32B1">
        <w:rPr>
          <w:rFonts w:ascii="Arial" w:eastAsia="Calibri" w:hAnsi="Arial" w:cs="Arial"/>
        </w:rPr>
        <w:t>hosting costs</w:t>
      </w:r>
    </w:p>
    <w:p w14:paraId="1B28A4E6" w14:textId="77777777" w:rsidR="00842B48" w:rsidRPr="00EF32B1" w:rsidRDefault="00842B48" w:rsidP="00EF32B1">
      <w:pPr>
        <w:pStyle w:val="ListParagraph"/>
        <w:numPr>
          <w:ilvl w:val="0"/>
          <w:numId w:val="27"/>
        </w:numPr>
        <w:spacing w:after="160"/>
        <w:rPr>
          <w:rFonts w:ascii="Arial" w:eastAsia="Calibri" w:hAnsi="Arial" w:cs="Arial"/>
        </w:rPr>
      </w:pPr>
      <w:r w:rsidRPr="00EF32B1">
        <w:rPr>
          <w:rFonts w:ascii="Arial" w:eastAsia="Calibri" w:hAnsi="Arial" w:cs="Arial"/>
        </w:rPr>
        <w:t>production, publication and distribution services</w:t>
      </w:r>
    </w:p>
    <w:p w14:paraId="014AC9F9" w14:textId="77777777" w:rsidR="00842B48" w:rsidRPr="00EF32B1" w:rsidRDefault="00842B48" w:rsidP="00EF32B1">
      <w:pPr>
        <w:pStyle w:val="ListParagraph"/>
        <w:numPr>
          <w:ilvl w:val="0"/>
          <w:numId w:val="27"/>
        </w:numPr>
        <w:spacing w:after="160"/>
        <w:rPr>
          <w:rFonts w:ascii="Arial" w:eastAsia="Calibri" w:hAnsi="Arial" w:cs="Arial"/>
        </w:rPr>
      </w:pPr>
      <w:r w:rsidRPr="00EF32B1">
        <w:rPr>
          <w:rFonts w:ascii="Arial" w:eastAsia="Calibri" w:hAnsi="Arial" w:cs="Arial"/>
        </w:rPr>
        <w:t>telecommunications and data costs</w:t>
      </w:r>
    </w:p>
    <w:p w14:paraId="2D3314B3" w14:textId="77777777" w:rsidR="00842B48" w:rsidRPr="00EF32B1" w:rsidRDefault="00842B48" w:rsidP="00EF32B1">
      <w:pPr>
        <w:pStyle w:val="ListParagraph"/>
        <w:numPr>
          <w:ilvl w:val="0"/>
          <w:numId w:val="27"/>
        </w:numPr>
        <w:spacing w:after="160"/>
        <w:rPr>
          <w:rFonts w:ascii="Arial" w:eastAsia="Calibri" w:hAnsi="Arial" w:cs="Arial"/>
        </w:rPr>
      </w:pPr>
      <w:r w:rsidRPr="00EF32B1">
        <w:rPr>
          <w:rFonts w:ascii="Arial" w:eastAsia="Calibri" w:hAnsi="Arial" w:cs="Arial"/>
        </w:rPr>
        <w:t>minor equipment</w:t>
      </w:r>
    </w:p>
    <w:p w14:paraId="1BADD632" w14:textId="77777777" w:rsidR="00842B48" w:rsidRPr="00EF32B1" w:rsidRDefault="00842B48" w:rsidP="00EF32B1">
      <w:pPr>
        <w:pStyle w:val="ListParagraph"/>
        <w:numPr>
          <w:ilvl w:val="0"/>
          <w:numId w:val="27"/>
        </w:numPr>
        <w:spacing w:after="160"/>
        <w:rPr>
          <w:rFonts w:ascii="Arial" w:eastAsia="Calibri" w:hAnsi="Arial" w:cs="Arial"/>
        </w:rPr>
      </w:pPr>
      <w:r w:rsidRPr="00EF32B1">
        <w:rPr>
          <w:rFonts w:ascii="Arial" w:eastAsia="Calibri" w:hAnsi="Arial" w:cs="Arial"/>
        </w:rPr>
        <w:t>office expenses</w:t>
      </w:r>
    </w:p>
    <w:p w14:paraId="76FEFFDC" w14:textId="77777777" w:rsidR="00842B48" w:rsidRPr="00EF32B1" w:rsidRDefault="00842B48" w:rsidP="00EF32B1">
      <w:pPr>
        <w:pStyle w:val="ListParagraph"/>
        <w:numPr>
          <w:ilvl w:val="0"/>
          <w:numId w:val="27"/>
        </w:numPr>
        <w:spacing w:after="160"/>
        <w:rPr>
          <w:rFonts w:ascii="Arial" w:eastAsia="Calibri" w:hAnsi="Arial" w:cs="Arial"/>
        </w:rPr>
      </w:pPr>
      <w:r w:rsidRPr="00EF32B1">
        <w:rPr>
          <w:rFonts w:ascii="Arial" w:eastAsia="Calibri" w:hAnsi="Arial" w:cs="Arial"/>
        </w:rPr>
        <w:t>other</w:t>
      </w:r>
    </w:p>
    <w:p w14:paraId="40C9DBC6" w14:textId="723112B3" w:rsidR="00ED6F59" w:rsidRPr="00E4735A" w:rsidRDefault="00ED6F59" w:rsidP="00E4735A">
      <w:pPr>
        <w:spacing w:after="160"/>
        <w:jc w:val="both"/>
        <w:rPr>
          <w:rFonts w:cs="Arial"/>
          <w:sz w:val="22"/>
        </w:rPr>
      </w:pPr>
      <w:r w:rsidRPr="00E4735A">
        <w:rPr>
          <w:rFonts w:cs="Arial"/>
          <w:sz w:val="22"/>
        </w:rPr>
        <w:t xml:space="preserve">The Tribunal </w:t>
      </w:r>
      <w:r w:rsidR="00985610">
        <w:rPr>
          <w:rFonts w:cs="Arial"/>
          <w:sz w:val="22"/>
        </w:rPr>
        <w:t>r</w:t>
      </w:r>
      <w:r w:rsidRPr="00E4735A">
        <w:rPr>
          <w:rFonts w:cs="Arial"/>
          <w:sz w:val="22"/>
        </w:rPr>
        <w:t>eviewed members</w:t>
      </w:r>
      <w:r w:rsidR="009E0C71">
        <w:rPr>
          <w:rFonts w:cs="Arial"/>
          <w:sz w:val="22"/>
        </w:rPr>
        <w:t>’</w:t>
      </w:r>
      <w:r w:rsidRPr="00E4735A">
        <w:rPr>
          <w:rFonts w:cs="Arial"/>
          <w:sz w:val="22"/>
        </w:rPr>
        <w:t xml:space="preserve"> expenditure of the ECA for 2021</w:t>
      </w:r>
      <w:r w:rsidR="00A02038">
        <w:rPr>
          <w:rFonts w:cs="Arial"/>
          <w:sz w:val="22"/>
        </w:rPr>
        <w:t xml:space="preserve"> </w:t>
      </w:r>
      <w:r w:rsidRPr="00E4735A">
        <w:rPr>
          <w:rFonts w:cs="Arial"/>
          <w:sz w:val="22"/>
        </w:rPr>
        <w:t>-</w:t>
      </w:r>
      <w:r w:rsidR="00A02038">
        <w:rPr>
          <w:rFonts w:cs="Arial"/>
          <w:sz w:val="22"/>
        </w:rPr>
        <w:t xml:space="preserve"> </w:t>
      </w:r>
      <w:r w:rsidRPr="00E4735A">
        <w:rPr>
          <w:rFonts w:cs="Arial"/>
          <w:sz w:val="22"/>
        </w:rPr>
        <w:t xml:space="preserve">22 and </w:t>
      </w:r>
      <w:r w:rsidR="00985610" w:rsidRPr="00E4735A">
        <w:rPr>
          <w:rFonts w:cs="Arial"/>
          <w:sz w:val="22"/>
        </w:rPr>
        <w:t>ma</w:t>
      </w:r>
      <w:r w:rsidR="00985610">
        <w:rPr>
          <w:rFonts w:cs="Arial"/>
          <w:sz w:val="22"/>
        </w:rPr>
        <w:t>de</w:t>
      </w:r>
      <w:r w:rsidR="00985610" w:rsidRPr="00E4735A">
        <w:rPr>
          <w:rFonts w:cs="Arial"/>
          <w:sz w:val="22"/>
        </w:rPr>
        <w:t xml:space="preserve"> </w:t>
      </w:r>
      <w:r w:rsidRPr="00E4735A">
        <w:rPr>
          <w:rFonts w:cs="Arial"/>
          <w:sz w:val="22"/>
        </w:rPr>
        <w:t xml:space="preserve">the following observations: </w:t>
      </w:r>
    </w:p>
    <w:p w14:paraId="1DAE250C" w14:textId="7555EA1B" w:rsidR="00ED6F59" w:rsidRPr="00E4735A" w:rsidRDefault="005314E9" w:rsidP="00E4735A">
      <w:pPr>
        <w:pStyle w:val="ListParagraph"/>
        <w:numPr>
          <w:ilvl w:val="0"/>
          <w:numId w:val="14"/>
        </w:numPr>
        <w:spacing w:after="160"/>
        <w:jc w:val="both"/>
        <w:rPr>
          <w:rFonts w:ascii="Arial" w:eastAsia="Calibri" w:hAnsi="Arial" w:cs="Arial"/>
        </w:rPr>
      </w:pPr>
      <w:r>
        <w:rPr>
          <w:rFonts w:ascii="Arial" w:eastAsia="Calibri" w:hAnsi="Arial" w:cs="Arial"/>
        </w:rPr>
        <w:t>c</w:t>
      </w:r>
      <w:r w:rsidR="00ED6F59" w:rsidRPr="00E4735A">
        <w:rPr>
          <w:rFonts w:ascii="Arial" w:eastAsia="Calibri" w:hAnsi="Arial" w:cs="Arial"/>
        </w:rPr>
        <w:t xml:space="preserve">onsistent with previous financial years, </w:t>
      </w:r>
      <w:r w:rsidR="00ED6F59" w:rsidRPr="00E4735A">
        <w:rPr>
          <w:rFonts w:ascii="Arial" w:eastAsia="Calibri" w:hAnsi="Arial" w:cs="Arial"/>
          <w:i/>
          <w:iCs/>
        </w:rPr>
        <w:t>Production, Publication and Distribution Services</w:t>
      </w:r>
      <w:r w:rsidR="00ED6F59" w:rsidRPr="00E4735A">
        <w:rPr>
          <w:rFonts w:ascii="Arial" w:eastAsia="Calibri" w:hAnsi="Arial" w:cs="Arial"/>
        </w:rPr>
        <w:t xml:space="preserve"> constituted the primary category of expenditure </w:t>
      </w:r>
      <w:r>
        <w:rPr>
          <w:rFonts w:ascii="Arial" w:eastAsia="Calibri" w:hAnsi="Arial" w:cs="Arial"/>
        </w:rPr>
        <w:t xml:space="preserve">at </w:t>
      </w:r>
      <w:r w:rsidR="00ED6F59" w:rsidRPr="00E4735A">
        <w:rPr>
          <w:rFonts w:ascii="Arial" w:eastAsia="Calibri" w:hAnsi="Arial" w:cs="Arial"/>
        </w:rPr>
        <w:t>40%</w:t>
      </w:r>
      <w:r w:rsidR="0098171B">
        <w:rPr>
          <w:rFonts w:ascii="Arial" w:eastAsia="Calibri" w:hAnsi="Arial" w:cs="Arial"/>
        </w:rPr>
        <w:t xml:space="preserve"> of the total ECA expended</w:t>
      </w:r>
      <w:r w:rsidR="00B67C9F">
        <w:rPr>
          <w:rFonts w:ascii="Arial" w:eastAsia="Calibri" w:hAnsi="Arial" w:cs="Arial"/>
        </w:rPr>
        <w:t>,</w:t>
      </w:r>
      <w:r w:rsidR="00ED6F59" w:rsidRPr="00E4735A">
        <w:rPr>
          <w:rFonts w:ascii="Arial" w:eastAsia="Calibri" w:hAnsi="Arial" w:cs="Arial"/>
        </w:rPr>
        <w:t xml:space="preserve"> </w:t>
      </w:r>
      <w:r w:rsidR="00B67C9F">
        <w:rPr>
          <w:rFonts w:ascii="Arial" w:eastAsia="Calibri" w:hAnsi="Arial" w:cs="Arial"/>
        </w:rPr>
        <w:t xml:space="preserve">noting </w:t>
      </w:r>
      <w:r w:rsidR="00ED6F59" w:rsidRPr="00E4735A">
        <w:rPr>
          <w:rFonts w:ascii="Arial" w:eastAsia="Calibri" w:hAnsi="Arial" w:cs="Arial"/>
        </w:rPr>
        <w:t>however, this has reduced as a percentage of overall ECA expenditure compared with 2020</w:t>
      </w:r>
      <w:r w:rsidR="00A02038">
        <w:rPr>
          <w:rFonts w:ascii="Arial" w:eastAsia="Calibri" w:hAnsi="Arial" w:cs="Arial"/>
        </w:rPr>
        <w:t xml:space="preserve"> </w:t>
      </w:r>
      <w:r w:rsidR="00ED6F59" w:rsidRPr="00E4735A">
        <w:rPr>
          <w:rFonts w:ascii="Arial" w:eastAsia="Calibri" w:hAnsi="Arial" w:cs="Arial"/>
        </w:rPr>
        <w:t>-</w:t>
      </w:r>
      <w:r w:rsidR="00A02038">
        <w:rPr>
          <w:rFonts w:ascii="Arial" w:eastAsia="Calibri" w:hAnsi="Arial" w:cs="Arial"/>
        </w:rPr>
        <w:t xml:space="preserve"> </w:t>
      </w:r>
      <w:r w:rsidR="00ED6F59" w:rsidRPr="00E4735A">
        <w:rPr>
          <w:rFonts w:ascii="Arial" w:eastAsia="Calibri" w:hAnsi="Arial" w:cs="Arial"/>
        </w:rPr>
        <w:t xml:space="preserve">21 </w:t>
      </w:r>
      <w:r>
        <w:rPr>
          <w:rFonts w:ascii="Arial" w:eastAsia="Calibri" w:hAnsi="Arial" w:cs="Arial"/>
        </w:rPr>
        <w:t>w</w:t>
      </w:r>
      <w:r w:rsidR="0098171B">
        <w:rPr>
          <w:rFonts w:ascii="Arial" w:eastAsia="Calibri" w:hAnsi="Arial" w:cs="Arial"/>
        </w:rPr>
        <w:t xml:space="preserve">hen </w:t>
      </w:r>
      <w:r w:rsidR="0098171B" w:rsidRPr="00E4735A">
        <w:rPr>
          <w:rFonts w:ascii="Arial" w:eastAsia="Calibri" w:hAnsi="Arial" w:cs="Arial"/>
          <w:i/>
          <w:iCs/>
        </w:rPr>
        <w:t>Production, Publication and Distribution Services</w:t>
      </w:r>
      <w:r w:rsidR="0098171B">
        <w:rPr>
          <w:rFonts w:ascii="Arial" w:eastAsia="Calibri" w:hAnsi="Arial" w:cs="Arial"/>
          <w:i/>
          <w:iCs/>
        </w:rPr>
        <w:t xml:space="preserve"> </w:t>
      </w:r>
      <w:r w:rsidR="0098171B">
        <w:rPr>
          <w:rFonts w:ascii="Arial" w:eastAsia="Calibri" w:hAnsi="Arial" w:cs="Arial"/>
        </w:rPr>
        <w:t>constituted</w:t>
      </w:r>
      <w:r>
        <w:rPr>
          <w:rFonts w:ascii="Arial" w:eastAsia="Calibri" w:hAnsi="Arial" w:cs="Arial"/>
        </w:rPr>
        <w:t xml:space="preserve"> </w:t>
      </w:r>
      <w:r w:rsidR="00ED6F59" w:rsidRPr="00E4735A">
        <w:rPr>
          <w:rFonts w:ascii="Arial" w:eastAsia="Calibri" w:hAnsi="Arial" w:cs="Arial"/>
        </w:rPr>
        <w:t>51%</w:t>
      </w:r>
      <w:r w:rsidR="0098171B">
        <w:rPr>
          <w:rFonts w:ascii="Arial" w:eastAsia="Calibri" w:hAnsi="Arial" w:cs="Arial"/>
        </w:rPr>
        <w:t xml:space="preserve"> of the total ECA expended by </w:t>
      </w:r>
      <w:proofErr w:type="gramStart"/>
      <w:r w:rsidR="0098171B">
        <w:rPr>
          <w:rFonts w:ascii="Arial" w:eastAsia="Calibri" w:hAnsi="Arial" w:cs="Arial"/>
        </w:rPr>
        <w:t>members</w:t>
      </w:r>
      <w:r w:rsidR="002E4E0C">
        <w:rPr>
          <w:rFonts w:ascii="Arial" w:eastAsia="Calibri" w:hAnsi="Arial" w:cs="Arial"/>
        </w:rPr>
        <w:t>;</w:t>
      </w:r>
      <w:proofErr w:type="gramEnd"/>
    </w:p>
    <w:p w14:paraId="6D1FB66F" w14:textId="145310A3" w:rsidR="00ED6F59" w:rsidRPr="00E4735A" w:rsidRDefault="00ED6F59" w:rsidP="00E4735A">
      <w:pPr>
        <w:pStyle w:val="ListParagraph"/>
        <w:numPr>
          <w:ilvl w:val="0"/>
          <w:numId w:val="14"/>
        </w:numPr>
        <w:spacing w:after="160"/>
        <w:jc w:val="both"/>
        <w:rPr>
          <w:rFonts w:ascii="Arial" w:hAnsi="Arial" w:cs="Arial"/>
        </w:rPr>
      </w:pPr>
      <w:r w:rsidRPr="00E4735A">
        <w:rPr>
          <w:rFonts w:ascii="Arial" w:eastAsia="Calibri" w:hAnsi="Arial" w:cs="Arial"/>
          <w:i/>
          <w:iCs/>
        </w:rPr>
        <w:t>Support for Constituents and Organisations</w:t>
      </w:r>
      <w:r w:rsidRPr="00E4735A">
        <w:rPr>
          <w:rFonts w:ascii="Arial" w:eastAsia="Calibri" w:hAnsi="Arial" w:cs="Arial"/>
        </w:rPr>
        <w:t xml:space="preserve"> has increased as a proportion of </w:t>
      </w:r>
      <w:r w:rsidR="0098171B">
        <w:rPr>
          <w:rFonts w:ascii="Arial" w:eastAsia="Calibri" w:hAnsi="Arial" w:cs="Arial"/>
        </w:rPr>
        <w:t xml:space="preserve">total </w:t>
      </w:r>
      <w:r w:rsidRPr="00E4735A">
        <w:rPr>
          <w:rFonts w:ascii="Arial" w:eastAsia="Calibri" w:hAnsi="Arial" w:cs="Arial"/>
        </w:rPr>
        <w:t xml:space="preserve">ECA expenditure </w:t>
      </w:r>
      <w:r w:rsidR="005314E9">
        <w:rPr>
          <w:rFonts w:ascii="Arial" w:eastAsia="Calibri" w:hAnsi="Arial" w:cs="Arial"/>
        </w:rPr>
        <w:t xml:space="preserve">constituting </w:t>
      </w:r>
      <w:r w:rsidRPr="00E4735A">
        <w:rPr>
          <w:rFonts w:ascii="Arial" w:eastAsia="Calibri" w:hAnsi="Arial" w:cs="Arial"/>
        </w:rPr>
        <w:t>35%</w:t>
      </w:r>
      <w:r w:rsidR="005314E9">
        <w:rPr>
          <w:rFonts w:ascii="Arial" w:eastAsia="Calibri" w:hAnsi="Arial" w:cs="Arial"/>
        </w:rPr>
        <w:t xml:space="preserve"> of ECA expenditure</w:t>
      </w:r>
      <w:r w:rsidRPr="00E4735A">
        <w:rPr>
          <w:rFonts w:ascii="Arial" w:eastAsia="Calibri" w:hAnsi="Arial" w:cs="Arial"/>
        </w:rPr>
        <w:t xml:space="preserve"> </w:t>
      </w:r>
      <w:r w:rsidR="0098171B">
        <w:rPr>
          <w:rFonts w:ascii="Arial" w:eastAsia="Calibri" w:hAnsi="Arial" w:cs="Arial"/>
        </w:rPr>
        <w:t>in 2021</w:t>
      </w:r>
      <w:r w:rsidR="00A02038">
        <w:rPr>
          <w:rFonts w:ascii="Arial" w:eastAsia="Calibri" w:hAnsi="Arial" w:cs="Arial"/>
        </w:rPr>
        <w:t xml:space="preserve"> </w:t>
      </w:r>
      <w:r w:rsidR="0098171B">
        <w:rPr>
          <w:rFonts w:ascii="Arial" w:eastAsia="Calibri" w:hAnsi="Arial" w:cs="Arial"/>
        </w:rPr>
        <w:t>-</w:t>
      </w:r>
      <w:r w:rsidR="00A02038">
        <w:rPr>
          <w:rFonts w:ascii="Arial" w:eastAsia="Calibri" w:hAnsi="Arial" w:cs="Arial"/>
        </w:rPr>
        <w:t xml:space="preserve"> </w:t>
      </w:r>
      <w:r w:rsidR="0098171B">
        <w:rPr>
          <w:rFonts w:ascii="Arial" w:eastAsia="Calibri" w:hAnsi="Arial" w:cs="Arial"/>
        </w:rPr>
        <w:t xml:space="preserve">22 </w:t>
      </w:r>
      <w:r w:rsidRPr="00E4735A">
        <w:rPr>
          <w:rFonts w:ascii="Arial" w:eastAsia="Calibri" w:hAnsi="Arial" w:cs="Arial"/>
        </w:rPr>
        <w:t>up from 25% in 2020</w:t>
      </w:r>
      <w:r w:rsidR="00A02038">
        <w:rPr>
          <w:rFonts w:ascii="Arial" w:eastAsia="Calibri" w:hAnsi="Arial" w:cs="Arial"/>
        </w:rPr>
        <w:t> </w:t>
      </w:r>
      <w:r w:rsidR="002E4E0C">
        <w:rPr>
          <w:rFonts w:ascii="Arial" w:eastAsia="Calibri" w:hAnsi="Arial" w:cs="Arial"/>
        </w:rPr>
        <w:t>–</w:t>
      </w:r>
      <w:r w:rsidR="00A02038">
        <w:rPr>
          <w:rFonts w:ascii="Arial" w:eastAsia="Calibri" w:hAnsi="Arial" w:cs="Arial"/>
        </w:rPr>
        <w:t> </w:t>
      </w:r>
      <w:r w:rsidRPr="00E4735A">
        <w:rPr>
          <w:rFonts w:ascii="Arial" w:eastAsia="Calibri" w:hAnsi="Arial" w:cs="Arial"/>
        </w:rPr>
        <w:t>21</w:t>
      </w:r>
      <w:r w:rsidR="002E4E0C">
        <w:rPr>
          <w:rFonts w:ascii="Arial" w:eastAsia="Calibri" w:hAnsi="Arial" w:cs="Arial"/>
        </w:rPr>
        <w:t>;</w:t>
      </w:r>
    </w:p>
    <w:p w14:paraId="6A259B6F" w14:textId="51B1F4D0" w:rsidR="0098171B" w:rsidRPr="0098171B" w:rsidRDefault="005314E9" w:rsidP="00E4735A">
      <w:pPr>
        <w:pStyle w:val="ListParagraph"/>
        <w:numPr>
          <w:ilvl w:val="0"/>
          <w:numId w:val="14"/>
        </w:numPr>
        <w:spacing w:after="160"/>
        <w:jc w:val="both"/>
        <w:rPr>
          <w:rFonts w:ascii="Arial" w:hAnsi="Arial" w:cs="Arial"/>
        </w:rPr>
      </w:pPr>
      <w:r>
        <w:rPr>
          <w:rFonts w:ascii="Arial" w:eastAsia="Calibri" w:hAnsi="Arial" w:cs="Arial"/>
        </w:rPr>
        <w:t>i</w:t>
      </w:r>
      <w:r w:rsidR="00ED6F59" w:rsidRPr="00E4735A">
        <w:rPr>
          <w:rFonts w:ascii="Arial" w:eastAsia="Calibri" w:hAnsi="Arial" w:cs="Arial"/>
        </w:rPr>
        <w:t>n 2021</w:t>
      </w:r>
      <w:r w:rsidR="00A02038">
        <w:rPr>
          <w:rFonts w:ascii="Arial" w:eastAsia="Calibri" w:hAnsi="Arial" w:cs="Arial"/>
        </w:rPr>
        <w:t xml:space="preserve"> </w:t>
      </w:r>
      <w:r w:rsidR="00ED6F59" w:rsidRPr="00E4735A">
        <w:rPr>
          <w:rFonts w:ascii="Arial" w:eastAsia="Calibri" w:hAnsi="Arial" w:cs="Arial"/>
        </w:rPr>
        <w:t>-</w:t>
      </w:r>
      <w:r w:rsidR="00A02038">
        <w:rPr>
          <w:rFonts w:ascii="Arial" w:eastAsia="Calibri" w:hAnsi="Arial" w:cs="Arial"/>
        </w:rPr>
        <w:t xml:space="preserve"> </w:t>
      </w:r>
      <w:r w:rsidR="00ED6F59" w:rsidRPr="00E4735A">
        <w:rPr>
          <w:rFonts w:ascii="Arial" w:eastAsia="Calibri" w:hAnsi="Arial" w:cs="Arial"/>
        </w:rPr>
        <w:t>22</w:t>
      </w:r>
      <w:r>
        <w:rPr>
          <w:rFonts w:ascii="Arial" w:eastAsia="Calibri" w:hAnsi="Arial" w:cs="Arial"/>
        </w:rPr>
        <w:t xml:space="preserve"> </w:t>
      </w:r>
      <w:r w:rsidR="0098171B">
        <w:rPr>
          <w:rFonts w:ascii="Arial" w:eastAsia="Calibri" w:hAnsi="Arial" w:cs="Arial"/>
        </w:rPr>
        <w:t>all</w:t>
      </w:r>
      <w:r w:rsidR="00ED6F59" w:rsidRPr="00E4735A">
        <w:rPr>
          <w:rFonts w:ascii="Arial" w:eastAsia="Calibri" w:hAnsi="Arial" w:cs="Arial"/>
        </w:rPr>
        <w:t xml:space="preserve"> members expended over 80% of their ECA </w:t>
      </w:r>
      <w:r w:rsidR="0098171B">
        <w:rPr>
          <w:rFonts w:ascii="Arial" w:eastAsia="Calibri" w:hAnsi="Arial" w:cs="Arial"/>
        </w:rPr>
        <w:t>(apart from the Member for Callide who resigned in March 2022) and</w:t>
      </w:r>
      <w:r w:rsidR="00ED6F59" w:rsidRPr="00E4735A">
        <w:rPr>
          <w:rFonts w:ascii="Arial" w:eastAsia="Calibri" w:hAnsi="Arial" w:cs="Arial"/>
        </w:rPr>
        <w:t xml:space="preserve"> there has been an increase in members </w:t>
      </w:r>
      <w:r w:rsidR="00ED6F59" w:rsidRPr="00E4735A">
        <w:rPr>
          <w:rFonts w:ascii="Arial" w:eastAsia="Calibri" w:hAnsi="Arial" w:cs="Arial"/>
        </w:rPr>
        <w:lastRenderedPageBreak/>
        <w:t xml:space="preserve">expending </w:t>
      </w:r>
      <w:r w:rsidR="0098171B">
        <w:rPr>
          <w:rFonts w:ascii="Arial" w:eastAsia="Calibri" w:hAnsi="Arial" w:cs="Arial"/>
        </w:rPr>
        <w:t>between</w:t>
      </w:r>
      <w:r w:rsidR="00ED6F59" w:rsidRPr="00E4735A">
        <w:rPr>
          <w:rFonts w:ascii="Arial" w:eastAsia="Calibri" w:hAnsi="Arial" w:cs="Arial"/>
        </w:rPr>
        <w:t xml:space="preserve"> 95%</w:t>
      </w:r>
      <w:r w:rsidR="0098171B">
        <w:rPr>
          <w:rFonts w:ascii="Arial" w:eastAsia="Calibri" w:hAnsi="Arial" w:cs="Arial"/>
        </w:rPr>
        <w:t xml:space="preserve"> and 100%</w:t>
      </w:r>
      <w:r w:rsidR="00ED6F59" w:rsidRPr="00E4735A">
        <w:rPr>
          <w:rFonts w:ascii="Arial" w:eastAsia="Calibri" w:hAnsi="Arial" w:cs="Arial"/>
        </w:rPr>
        <w:t xml:space="preserve"> of their ECA compared with 2020</w:t>
      </w:r>
      <w:r w:rsidR="00A02038">
        <w:rPr>
          <w:rFonts w:ascii="Arial" w:eastAsia="Calibri" w:hAnsi="Arial" w:cs="Arial"/>
        </w:rPr>
        <w:t xml:space="preserve"> </w:t>
      </w:r>
      <w:r w:rsidR="00ED6F59" w:rsidRPr="00E4735A">
        <w:rPr>
          <w:rFonts w:ascii="Arial" w:eastAsia="Calibri" w:hAnsi="Arial" w:cs="Arial"/>
        </w:rPr>
        <w:t>-</w:t>
      </w:r>
      <w:r w:rsidR="00A02038">
        <w:rPr>
          <w:rFonts w:ascii="Arial" w:eastAsia="Calibri" w:hAnsi="Arial" w:cs="Arial"/>
        </w:rPr>
        <w:t xml:space="preserve"> </w:t>
      </w:r>
      <w:r w:rsidR="00ED6F59" w:rsidRPr="00E4735A">
        <w:rPr>
          <w:rFonts w:ascii="Arial" w:eastAsia="Calibri" w:hAnsi="Arial" w:cs="Arial"/>
        </w:rPr>
        <w:t>21</w:t>
      </w:r>
      <w:r w:rsidR="0098171B">
        <w:rPr>
          <w:rFonts w:ascii="Arial" w:eastAsia="Calibri" w:hAnsi="Arial" w:cs="Arial"/>
        </w:rPr>
        <w:t xml:space="preserve"> and 2019</w:t>
      </w:r>
      <w:r w:rsidR="00A02038">
        <w:rPr>
          <w:rFonts w:ascii="Arial" w:eastAsia="Calibri" w:hAnsi="Arial" w:cs="Arial"/>
        </w:rPr>
        <w:t> </w:t>
      </w:r>
      <w:r w:rsidR="002E4E0C">
        <w:rPr>
          <w:rFonts w:ascii="Arial" w:eastAsia="Calibri" w:hAnsi="Arial" w:cs="Arial"/>
        </w:rPr>
        <w:t>–</w:t>
      </w:r>
      <w:r w:rsidR="00A02038">
        <w:rPr>
          <w:rFonts w:ascii="Arial" w:eastAsia="Calibri" w:hAnsi="Arial" w:cs="Arial"/>
        </w:rPr>
        <w:t> </w:t>
      </w:r>
      <w:r w:rsidR="0098171B">
        <w:rPr>
          <w:rFonts w:ascii="Arial" w:eastAsia="Calibri" w:hAnsi="Arial" w:cs="Arial"/>
        </w:rPr>
        <w:t>20</w:t>
      </w:r>
      <w:r w:rsidR="002E4E0C">
        <w:rPr>
          <w:rFonts w:ascii="Arial" w:eastAsia="Calibri" w:hAnsi="Arial" w:cs="Arial"/>
        </w:rPr>
        <w:t>; and</w:t>
      </w:r>
    </w:p>
    <w:p w14:paraId="36F4DF26" w14:textId="3309A0DC" w:rsidR="00ED6F59" w:rsidRPr="00E4735A" w:rsidRDefault="0098171B" w:rsidP="00E4735A">
      <w:pPr>
        <w:pStyle w:val="ListParagraph"/>
        <w:numPr>
          <w:ilvl w:val="0"/>
          <w:numId w:val="14"/>
        </w:numPr>
        <w:spacing w:after="160"/>
        <w:jc w:val="both"/>
        <w:rPr>
          <w:rFonts w:ascii="Arial" w:hAnsi="Arial" w:cs="Arial"/>
        </w:rPr>
      </w:pPr>
      <w:r>
        <w:rPr>
          <w:rFonts w:ascii="Arial" w:eastAsia="Calibri" w:hAnsi="Arial" w:cs="Arial"/>
        </w:rPr>
        <w:t>six members expended 100% of their ECA</w:t>
      </w:r>
      <w:r w:rsidR="002E4E0C">
        <w:rPr>
          <w:rFonts w:ascii="Arial" w:eastAsia="Calibri" w:hAnsi="Arial" w:cs="Arial"/>
        </w:rPr>
        <w:t>, or over,</w:t>
      </w:r>
      <w:r>
        <w:rPr>
          <w:rFonts w:ascii="Arial" w:eastAsia="Calibri" w:hAnsi="Arial" w:cs="Arial"/>
        </w:rPr>
        <w:t xml:space="preserve"> in 2021</w:t>
      </w:r>
      <w:r w:rsidR="00A02038">
        <w:rPr>
          <w:rFonts w:ascii="Arial" w:eastAsia="Calibri" w:hAnsi="Arial" w:cs="Arial"/>
        </w:rPr>
        <w:t xml:space="preserve"> </w:t>
      </w:r>
      <w:r>
        <w:rPr>
          <w:rFonts w:ascii="Arial" w:eastAsia="Calibri" w:hAnsi="Arial" w:cs="Arial"/>
        </w:rPr>
        <w:t>-</w:t>
      </w:r>
      <w:r w:rsidR="00A02038">
        <w:rPr>
          <w:rFonts w:ascii="Arial" w:eastAsia="Calibri" w:hAnsi="Arial" w:cs="Arial"/>
        </w:rPr>
        <w:t xml:space="preserve"> </w:t>
      </w:r>
      <w:r>
        <w:rPr>
          <w:rFonts w:ascii="Arial" w:eastAsia="Calibri" w:hAnsi="Arial" w:cs="Arial"/>
        </w:rPr>
        <w:t>22 compared with twelve members in 2020</w:t>
      </w:r>
      <w:r w:rsidR="00A02038">
        <w:rPr>
          <w:rFonts w:ascii="Arial" w:eastAsia="Calibri" w:hAnsi="Arial" w:cs="Arial"/>
        </w:rPr>
        <w:t xml:space="preserve"> </w:t>
      </w:r>
      <w:r w:rsidR="002E4E0C">
        <w:rPr>
          <w:rFonts w:ascii="Arial" w:eastAsia="Calibri" w:hAnsi="Arial" w:cs="Arial"/>
        </w:rPr>
        <w:t>–</w:t>
      </w:r>
      <w:r w:rsidR="00A02038">
        <w:rPr>
          <w:rFonts w:ascii="Arial" w:eastAsia="Calibri" w:hAnsi="Arial" w:cs="Arial"/>
        </w:rPr>
        <w:t xml:space="preserve"> </w:t>
      </w:r>
      <w:r>
        <w:rPr>
          <w:rFonts w:ascii="Arial" w:eastAsia="Calibri" w:hAnsi="Arial" w:cs="Arial"/>
        </w:rPr>
        <w:t>21</w:t>
      </w:r>
      <w:r w:rsidR="002E4E0C">
        <w:rPr>
          <w:rFonts w:ascii="Arial" w:eastAsia="Calibri" w:hAnsi="Arial" w:cs="Arial"/>
        </w:rPr>
        <w:t>.</w:t>
      </w:r>
    </w:p>
    <w:p w14:paraId="37FA25D3" w14:textId="50126820" w:rsidR="00985610" w:rsidRPr="00EF32B1" w:rsidRDefault="00985610" w:rsidP="00EF32B1">
      <w:pPr>
        <w:spacing w:after="160"/>
        <w:jc w:val="both"/>
        <w:rPr>
          <w:rFonts w:cs="Arial"/>
          <w:sz w:val="22"/>
        </w:rPr>
      </w:pPr>
      <w:r>
        <w:rPr>
          <w:rFonts w:cs="Arial"/>
          <w:sz w:val="22"/>
        </w:rPr>
        <w:t xml:space="preserve">The Tribunal observed that the expenditure </w:t>
      </w:r>
      <w:r w:rsidRPr="00EF32B1">
        <w:rPr>
          <w:rFonts w:cs="Arial"/>
          <w:sz w:val="22"/>
        </w:rPr>
        <w:t xml:space="preserve">data suggests that the quantum of ECA remains appropriate and that notwithstanding increasing costs, current allowances reflect the amount of reasonable expenses incurred by a member in servicing their electorate. </w:t>
      </w:r>
    </w:p>
    <w:p w14:paraId="20174CD5" w14:textId="64A563FF" w:rsidR="005926FD" w:rsidRPr="00EF32B1" w:rsidRDefault="005926FD" w:rsidP="00EF32B1">
      <w:pPr>
        <w:pStyle w:val="Subtitle"/>
        <w:numPr>
          <w:ilvl w:val="0"/>
          <w:numId w:val="0"/>
        </w:numPr>
        <w:spacing w:after="160"/>
        <w:rPr>
          <w:rFonts w:ascii="Arial" w:hAnsi="Arial" w:cs="Arial"/>
        </w:rPr>
      </w:pPr>
      <w:r w:rsidRPr="00EF32B1">
        <w:rPr>
          <w:rFonts w:ascii="Arial" w:hAnsi="Arial" w:cs="Arial"/>
        </w:rPr>
        <w:t>High Enrolment Supplement</w:t>
      </w:r>
    </w:p>
    <w:p w14:paraId="20A9754B" w14:textId="3220E181" w:rsidR="005926FD" w:rsidRPr="00E4735A" w:rsidRDefault="003176AB" w:rsidP="00E4735A">
      <w:pPr>
        <w:spacing w:after="160"/>
        <w:jc w:val="both"/>
        <w:rPr>
          <w:rFonts w:eastAsia="Calibri" w:cs="Arial"/>
          <w:sz w:val="22"/>
        </w:rPr>
      </w:pPr>
      <w:r>
        <w:rPr>
          <w:rFonts w:eastAsia="Calibri" w:cs="Arial"/>
          <w:sz w:val="22"/>
        </w:rPr>
        <w:t xml:space="preserve">In </w:t>
      </w:r>
      <w:r w:rsidR="005926FD" w:rsidRPr="00E4735A">
        <w:rPr>
          <w:rFonts w:eastAsia="Calibri" w:cs="Arial"/>
          <w:sz w:val="22"/>
        </w:rPr>
        <w:t xml:space="preserve">Determination 26/2022, the Tribunal determined that members are entitled to receive a </w:t>
      </w:r>
      <w:r>
        <w:rPr>
          <w:rFonts w:eastAsia="Calibri" w:cs="Arial"/>
          <w:sz w:val="22"/>
        </w:rPr>
        <w:t>H</w:t>
      </w:r>
      <w:r w:rsidR="005926FD" w:rsidRPr="00E4735A">
        <w:rPr>
          <w:rFonts w:eastAsia="Calibri" w:cs="Arial"/>
          <w:sz w:val="22"/>
        </w:rPr>
        <w:t xml:space="preserve">igh </w:t>
      </w:r>
      <w:r>
        <w:rPr>
          <w:rFonts w:eastAsia="Calibri" w:cs="Arial"/>
          <w:sz w:val="22"/>
        </w:rPr>
        <w:t>E</w:t>
      </w:r>
      <w:r w:rsidR="005926FD" w:rsidRPr="00E4735A">
        <w:rPr>
          <w:rFonts w:eastAsia="Calibri" w:cs="Arial"/>
          <w:sz w:val="22"/>
        </w:rPr>
        <w:t xml:space="preserve">nrolment </w:t>
      </w:r>
      <w:r>
        <w:rPr>
          <w:rFonts w:eastAsia="Calibri" w:cs="Arial"/>
          <w:sz w:val="22"/>
        </w:rPr>
        <w:t>S</w:t>
      </w:r>
      <w:r w:rsidR="005926FD" w:rsidRPr="00E4735A">
        <w:rPr>
          <w:rFonts w:eastAsia="Calibri" w:cs="Arial"/>
          <w:sz w:val="22"/>
        </w:rPr>
        <w:t xml:space="preserve">upplement of $2,500 per financial year if the </w:t>
      </w:r>
      <w:r>
        <w:rPr>
          <w:rFonts w:eastAsia="Calibri" w:cs="Arial"/>
          <w:sz w:val="22"/>
        </w:rPr>
        <w:t>H</w:t>
      </w:r>
      <w:r w:rsidR="005926FD" w:rsidRPr="00E4735A">
        <w:rPr>
          <w:rFonts w:eastAsia="Calibri" w:cs="Arial"/>
          <w:sz w:val="22"/>
        </w:rPr>
        <w:t xml:space="preserve">igh </w:t>
      </w:r>
      <w:r>
        <w:rPr>
          <w:rFonts w:eastAsia="Calibri" w:cs="Arial"/>
          <w:sz w:val="22"/>
        </w:rPr>
        <w:t>E</w:t>
      </w:r>
      <w:r w:rsidR="005926FD" w:rsidRPr="00E4735A">
        <w:rPr>
          <w:rFonts w:eastAsia="Calibri" w:cs="Arial"/>
          <w:sz w:val="22"/>
        </w:rPr>
        <w:t xml:space="preserve">nrolment </w:t>
      </w:r>
      <w:r>
        <w:rPr>
          <w:rFonts w:eastAsia="Calibri" w:cs="Arial"/>
          <w:sz w:val="22"/>
        </w:rPr>
        <w:t>S</w:t>
      </w:r>
      <w:r w:rsidR="005926FD" w:rsidRPr="00E4735A">
        <w:rPr>
          <w:rFonts w:eastAsia="Calibri" w:cs="Arial"/>
          <w:sz w:val="22"/>
        </w:rPr>
        <w:t>upplement criteria are met:</w:t>
      </w:r>
    </w:p>
    <w:p w14:paraId="20058881" w14:textId="77777777" w:rsidR="005926FD" w:rsidRPr="00E4735A" w:rsidRDefault="005926FD" w:rsidP="00E4735A">
      <w:pPr>
        <w:pStyle w:val="ListParagraph"/>
        <w:numPr>
          <w:ilvl w:val="0"/>
          <w:numId w:val="15"/>
        </w:numPr>
        <w:spacing w:after="160"/>
        <w:jc w:val="both"/>
        <w:rPr>
          <w:rFonts w:ascii="Arial" w:eastAsia="Calibri" w:hAnsi="Arial" w:cs="Arial"/>
        </w:rPr>
      </w:pPr>
      <w:r w:rsidRPr="00E4735A">
        <w:rPr>
          <w:rFonts w:ascii="Arial" w:eastAsia="Calibri" w:hAnsi="Arial" w:cs="Arial"/>
        </w:rPr>
        <w:t xml:space="preserve">the electorate is in ECA Band 4; and </w:t>
      </w:r>
    </w:p>
    <w:p w14:paraId="0F527091" w14:textId="2CBC0F9C" w:rsidR="005926FD" w:rsidRPr="00E4735A" w:rsidRDefault="005926FD" w:rsidP="00E4735A">
      <w:pPr>
        <w:pStyle w:val="ListParagraph"/>
        <w:numPr>
          <w:ilvl w:val="0"/>
          <w:numId w:val="15"/>
        </w:numPr>
        <w:spacing w:after="160"/>
        <w:jc w:val="both"/>
        <w:rPr>
          <w:rFonts w:ascii="Arial" w:eastAsia="Calibri" w:hAnsi="Arial" w:cs="Arial"/>
        </w:rPr>
      </w:pPr>
      <w:r w:rsidRPr="00E4735A">
        <w:rPr>
          <w:rFonts w:ascii="Arial" w:eastAsia="Calibri" w:hAnsi="Arial" w:cs="Arial"/>
        </w:rPr>
        <w:t xml:space="preserve">the number of electors is 25% or more above the quota, over a period of six consecutive months, determined in accordance with the ECQ monthly enrolment data. </w:t>
      </w:r>
    </w:p>
    <w:p w14:paraId="68B52AE3" w14:textId="136CF4D6" w:rsidR="005926FD" w:rsidRPr="00E4735A" w:rsidRDefault="002E4E0C" w:rsidP="00E4735A">
      <w:pPr>
        <w:spacing w:after="160"/>
        <w:jc w:val="both"/>
        <w:rPr>
          <w:rFonts w:eastAsia="Calibri" w:cs="Arial"/>
          <w:sz w:val="22"/>
        </w:rPr>
      </w:pPr>
      <w:r>
        <w:rPr>
          <w:rFonts w:eastAsia="Calibri" w:cs="Arial"/>
          <w:sz w:val="22"/>
        </w:rPr>
        <w:t>It was also determined that m</w:t>
      </w:r>
      <w:r w:rsidR="005926FD" w:rsidRPr="00E4735A">
        <w:rPr>
          <w:rFonts w:eastAsia="Calibri" w:cs="Arial"/>
          <w:sz w:val="22"/>
        </w:rPr>
        <w:t>embers whose electorate ha</w:t>
      </w:r>
      <w:r w:rsidR="005314E9">
        <w:rPr>
          <w:rFonts w:eastAsia="Calibri" w:cs="Arial"/>
          <w:sz w:val="22"/>
        </w:rPr>
        <w:t>s</w:t>
      </w:r>
      <w:r w:rsidR="005926FD" w:rsidRPr="00E4735A">
        <w:rPr>
          <w:rFonts w:eastAsia="Calibri" w:cs="Arial"/>
          <w:sz w:val="22"/>
        </w:rPr>
        <w:t xml:space="preserve"> met the </w:t>
      </w:r>
      <w:r w:rsidR="003176AB">
        <w:rPr>
          <w:rFonts w:eastAsia="Calibri" w:cs="Arial"/>
          <w:sz w:val="22"/>
        </w:rPr>
        <w:t>H</w:t>
      </w:r>
      <w:r w:rsidR="005926FD" w:rsidRPr="00E4735A">
        <w:rPr>
          <w:rFonts w:eastAsia="Calibri" w:cs="Arial"/>
          <w:sz w:val="22"/>
        </w:rPr>
        <w:t xml:space="preserve">igh </w:t>
      </w:r>
      <w:r w:rsidR="003176AB">
        <w:rPr>
          <w:rFonts w:eastAsia="Calibri" w:cs="Arial"/>
          <w:sz w:val="22"/>
        </w:rPr>
        <w:t>E</w:t>
      </w:r>
      <w:r w:rsidR="005926FD" w:rsidRPr="00E4735A">
        <w:rPr>
          <w:rFonts w:eastAsia="Calibri" w:cs="Arial"/>
          <w:sz w:val="22"/>
        </w:rPr>
        <w:t xml:space="preserve">nrolment </w:t>
      </w:r>
      <w:r w:rsidR="003176AB">
        <w:rPr>
          <w:rFonts w:eastAsia="Calibri" w:cs="Arial"/>
          <w:sz w:val="22"/>
        </w:rPr>
        <w:t>S</w:t>
      </w:r>
      <w:r w:rsidR="005926FD" w:rsidRPr="00E4735A">
        <w:rPr>
          <w:rFonts w:eastAsia="Calibri" w:cs="Arial"/>
          <w:sz w:val="22"/>
        </w:rPr>
        <w:t>upplement criteria in the preceding 6 months will receive a pro-rata payment of the additional funding of $2,500 per annum, paid in half yearly instalment</w:t>
      </w:r>
      <w:r w:rsidR="005314E9">
        <w:rPr>
          <w:rFonts w:eastAsia="Calibri" w:cs="Arial"/>
          <w:sz w:val="22"/>
        </w:rPr>
        <w:t xml:space="preserve">s. This took </w:t>
      </w:r>
      <w:r w:rsidR="005926FD" w:rsidRPr="00E4735A">
        <w:rPr>
          <w:rFonts w:eastAsia="Calibri" w:cs="Arial"/>
          <w:sz w:val="22"/>
        </w:rPr>
        <w:t xml:space="preserve">effect from 1 July 2022, </w:t>
      </w:r>
      <w:proofErr w:type="gramStart"/>
      <w:r w:rsidR="005926FD" w:rsidRPr="00E4735A">
        <w:rPr>
          <w:rFonts w:eastAsia="Calibri" w:cs="Arial"/>
          <w:sz w:val="22"/>
        </w:rPr>
        <w:t>with the exception of</w:t>
      </w:r>
      <w:proofErr w:type="gramEnd"/>
      <w:r w:rsidR="005926FD" w:rsidRPr="00E4735A">
        <w:rPr>
          <w:rFonts w:eastAsia="Calibri" w:cs="Arial"/>
          <w:sz w:val="22"/>
        </w:rPr>
        <w:t xml:space="preserve"> the Member for Coomera who received an additional </w:t>
      </w:r>
      <w:r w:rsidR="005314E9">
        <w:rPr>
          <w:rFonts w:eastAsia="Calibri" w:cs="Arial"/>
          <w:sz w:val="22"/>
        </w:rPr>
        <w:t>amount</w:t>
      </w:r>
      <w:r w:rsidR="005926FD" w:rsidRPr="00E4735A">
        <w:rPr>
          <w:rFonts w:eastAsia="Calibri" w:cs="Arial"/>
          <w:sz w:val="22"/>
        </w:rPr>
        <w:t xml:space="preserve"> of $2,500 per annum for the 2021</w:t>
      </w:r>
      <w:r w:rsidR="00A02038">
        <w:rPr>
          <w:rFonts w:eastAsia="Calibri" w:cs="Arial"/>
          <w:sz w:val="22"/>
        </w:rPr>
        <w:t xml:space="preserve"> </w:t>
      </w:r>
      <w:r w:rsidR="005926FD" w:rsidRPr="00E4735A">
        <w:rPr>
          <w:rFonts w:eastAsia="Calibri" w:cs="Arial"/>
          <w:sz w:val="22"/>
        </w:rPr>
        <w:t>-</w:t>
      </w:r>
      <w:r w:rsidR="00A02038">
        <w:rPr>
          <w:rFonts w:eastAsia="Calibri" w:cs="Arial"/>
          <w:sz w:val="22"/>
        </w:rPr>
        <w:t xml:space="preserve"> </w:t>
      </w:r>
      <w:r w:rsidR="005926FD" w:rsidRPr="00E4735A">
        <w:rPr>
          <w:rFonts w:eastAsia="Calibri" w:cs="Arial"/>
          <w:sz w:val="22"/>
        </w:rPr>
        <w:t>22 financial year.</w:t>
      </w:r>
    </w:p>
    <w:p w14:paraId="19A74AEE" w14:textId="432024B9" w:rsidR="005926FD" w:rsidRPr="00E4735A" w:rsidRDefault="005926FD" w:rsidP="00E4735A">
      <w:pPr>
        <w:spacing w:after="160"/>
        <w:jc w:val="both"/>
        <w:rPr>
          <w:rFonts w:eastAsia="Calibri" w:cs="Arial"/>
          <w:sz w:val="22"/>
        </w:rPr>
      </w:pPr>
      <w:r w:rsidRPr="00E4735A">
        <w:rPr>
          <w:rFonts w:eastAsia="Calibri" w:cs="Arial"/>
          <w:sz w:val="22"/>
        </w:rPr>
        <w:t xml:space="preserve">The Member for Coomera </w:t>
      </w:r>
      <w:r w:rsidR="005314E9">
        <w:rPr>
          <w:rFonts w:eastAsia="Calibri" w:cs="Arial"/>
          <w:sz w:val="22"/>
        </w:rPr>
        <w:t xml:space="preserve">continues to be </w:t>
      </w:r>
      <w:r w:rsidRPr="00E4735A">
        <w:rPr>
          <w:rFonts w:eastAsia="Calibri" w:cs="Arial"/>
          <w:sz w:val="22"/>
        </w:rPr>
        <w:t xml:space="preserve">the only member eligible to receive the High Enrolment Supplement. </w:t>
      </w:r>
      <w:r w:rsidR="00771AF5" w:rsidRPr="00E4735A">
        <w:rPr>
          <w:rFonts w:eastAsia="Calibri" w:cs="Arial"/>
          <w:sz w:val="22"/>
        </w:rPr>
        <w:t xml:space="preserve">The Tribunal </w:t>
      </w:r>
      <w:r w:rsidR="00C21B30" w:rsidRPr="00E4735A">
        <w:rPr>
          <w:rFonts w:eastAsia="Calibri" w:cs="Arial"/>
          <w:sz w:val="22"/>
        </w:rPr>
        <w:t>note</w:t>
      </w:r>
      <w:r w:rsidR="00C21B30">
        <w:rPr>
          <w:rFonts w:eastAsia="Calibri" w:cs="Arial"/>
          <w:sz w:val="22"/>
        </w:rPr>
        <w:t xml:space="preserve">d </w:t>
      </w:r>
      <w:r w:rsidR="00771AF5" w:rsidRPr="00E4735A">
        <w:rPr>
          <w:rFonts w:eastAsia="Calibri" w:cs="Arial"/>
          <w:sz w:val="22"/>
        </w:rPr>
        <w:t xml:space="preserve">that Coomera is an outlier in terms of voter enrolment and population increases and accordingly </w:t>
      </w:r>
      <w:r w:rsidR="005314E9">
        <w:rPr>
          <w:rFonts w:eastAsia="Calibri" w:cs="Arial"/>
          <w:sz w:val="22"/>
        </w:rPr>
        <w:t xml:space="preserve">the member for Coomera </w:t>
      </w:r>
      <w:r w:rsidR="00771AF5" w:rsidRPr="00E4735A">
        <w:rPr>
          <w:rFonts w:eastAsia="Calibri" w:cs="Arial"/>
          <w:sz w:val="22"/>
        </w:rPr>
        <w:t xml:space="preserve">is required to expend a greater amount of their ECA to service the electorate and support </w:t>
      </w:r>
      <w:r w:rsidR="002E4E0C">
        <w:rPr>
          <w:rFonts w:eastAsia="Calibri" w:cs="Arial"/>
          <w:sz w:val="22"/>
        </w:rPr>
        <w:t>his</w:t>
      </w:r>
      <w:r w:rsidR="002E4E0C" w:rsidRPr="00E4735A">
        <w:rPr>
          <w:rFonts w:eastAsia="Calibri" w:cs="Arial"/>
          <w:sz w:val="22"/>
        </w:rPr>
        <w:t xml:space="preserve"> </w:t>
      </w:r>
      <w:r w:rsidR="00771AF5" w:rsidRPr="00E4735A">
        <w:rPr>
          <w:rFonts w:eastAsia="Calibri" w:cs="Arial"/>
          <w:sz w:val="22"/>
        </w:rPr>
        <w:t xml:space="preserve">constituents. </w:t>
      </w:r>
    </w:p>
    <w:p w14:paraId="7FAB7475" w14:textId="3DEDDC52" w:rsidR="005926FD" w:rsidRPr="00E4735A" w:rsidRDefault="00DF3065" w:rsidP="00E4735A">
      <w:pPr>
        <w:spacing w:after="160"/>
        <w:jc w:val="both"/>
        <w:rPr>
          <w:rFonts w:cs="Arial"/>
          <w:sz w:val="22"/>
        </w:rPr>
      </w:pPr>
      <w:r>
        <w:rPr>
          <w:rFonts w:cs="Arial"/>
          <w:sz w:val="22"/>
        </w:rPr>
        <w:t>Figure 1</w:t>
      </w:r>
      <w:r w:rsidR="005926FD" w:rsidRPr="00E4735A">
        <w:rPr>
          <w:rFonts w:cs="Arial"/>
          <w:sz w:val="22"/>
        </w:rPr>
        <w:t xml:space="preserve"> shows the increase in voter registrations in Coomera compared with the average number of enrolled electors for an electoral district (the quota) since the last State Electoral redistribution took effect. </w:t>
      </w:r>
    </w:p>
    <w:p w14:paraId="3E09B25D" w14:textId="03F3C3E7" w:rsidR="00E4735A" w:rsidRPr="00E4735A" w:rsidRDefault="00DF3065" w:rsidP="00E4735A">
      <w:pPr>
        <w:spacing w:after="160"/>
        <w:jc w:val="both"/>
        <w:rPr>
          <w:rFonts w:cs="Arial"/>
          <w:b/>
          <w:bCs/>
          <w:sz w:val="18"/>
          <w:szCs w:val="18"/>
        </w:rPr>
      </w:pPr>
      <w:r>
        <w:rPr>
          <w:rFonts w:cs="Arial"/>
          <w:b/>
          <w:bCs/>
          <w:sz w:val="18"/>
          <w:szCs w:val="18"/>
        </w:rPr>
        <w:t>Figure 1</w:t>
      </w:r>
      <w:r w:rsidR="00E4735A" w:rsidRPr="00E4735A">
        <w:rPr>
          <w:rFonts w:cs="Arial"/>
          <w:b/>
          <w:bCs/>
          <w:sz w:val="18"/>
          <w:szCs w:val="18"/>
        </w:rPr>
        <w:t>: comparison of average number of enrolled electors for an electoral district and Coomera</w:t>
      </w:r>
    </w:p>
    <w:p w14:paraId="289CDC4E" w14:textId="63148C8C" w:rsidR="005926FD" w:rsidRPr="00E4735A" w:rsidRDefault="00771AF5" w:rsidP="00E4735A">
      <w:pPr>
        <w:spacing w:after="160"/>
        <w:jc w:val="both"/>
        <w:rPr>
          <w:rFonts w:cs="Arial"/>
          <w:sz w:val="22"/>
        </w:rPr>
      </w:pPr>
      <w:r w:rsidRPr="00E4735A">
        <w:rPr>
          <w:rFonts w:cs="Arial"/>
          <w:noProof/>
          <w:sz w:val="22"/>
        </w:rPr>
        <w:drawing>
          <wp:inline distT="0" distB="0" distL="0" distR="0" wp14:anchorId="2660AF80" wp14:editId="30EF6ECB">
            <wp:extent cx="5692877" cy="2517058"/>
            <wp:effectExtent l="0" t="0" r="3175" b="17145"/>
            <wp:docPr id="1" name="Chart 1">
              <a:extLst xmlns:a="http://schemas.openxmlformats.org/drawingml/2006/main">
                <a:ext uri="{FF2B5EF4-FFF2-40B4-BE49-F238E27FC236}">
                  <a16:creationId xmlns:a16="http://schemas.microsoft.com/office/drawing/2014/main" id="{2A9DF4DE-A9A3-69AA-0551-B6D9608132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77F5AE" w14:textId="610E7FB4" w:rsidR="00771AF5" w:rsidRPr="00E4735A" w:rsidRDefault="00771AF5" w:rsidP="003B503D">
      <w:pPr>
        <w:spacing w:after="160"/>
        <w:jc w:val="both"/>
        <w:rPr>
          <w:rFonts w:cs="Arial"/>
          <w:sz w:val="22"/>
          <w:lang w:val="en-US"/>
        </w:rPr>
      </w:pPr>
      <w:r w:rsidRPr="00E4735A">
        <w:rPr>
          <w:rFonts w:cs="Arial"/>
          <w:sz w:val="22"/>
          <w:lang w:val="en-US"/>
        </w:rPr>
        <w:t xml:space="preserve">The Tribunal notes that </w:t>
      </w:r>
      <w:r w:rsidR="008267D3">
        <w:rPr>
          <w:rFonts w:cs="Arial"/>
          <w:sz w:val="22"/>
          <w:lang w:val="en-US"/>
        </w:rPr>
        <w:t>high enrolment numbers are likely</w:t>
      </w:r>
      <w:r w:rsidR="00124256">
        <w:rPr>
          <w:rFonts w:cs="Arial"/>
          <w:sz w:val="22"/>
          <w:lang w:val="en-US"/>
        </w:rPr>
        <w:t xml:space="preserve"> to</w:t>
      </w:r>
      <w:r w:rsidR="008267D3">
        <w:rPr>
          <w:rFonts w:cs="Arial"/>
          <w:sz w:val="22"/>
          <w:lang w:val="en-US"/>
        </w:rPr>
        <w:t xml:space="preserve"> continue to be an issue for the Coomera electorate in the medium term</w:t>
      </w:r>
      <w:r w:rsidR="002E4E0C">
        <w:rPr>
          <w:rFonts w:cs="Arial"/>
          <w:sz w:val="22"/>
          <w:lang w:val="en-US"/>
        </w:rPr>
        <w:t>,</w:t>
      </w:r>
      <w:r w:rsidR="008267D3">
        <w:rPr>
          <w:rFonts w:cs="Arial"/>
          <w:sz w:val="22"/>
          <w:lang w:val="en-US"/>
        </w:rPr>
        <w:t xml:space="preserve"> noting that the next </w:t>
      </w:r>
      <w:r w:rsidRPr="00E4735A">
        <w:rPr>
          <w:rFonts w:cs="Arial"/>
          <w:sz w:val="22"/>
          <w:lang w:val="en-US"/>
        </w:rPr>
        <w:t xml:space="preserve">State </w:t>
      </w:r>
      <w:r w:rsidR="008267D3">
        <w:rPr>
          <w:rFonts w:cs="Arial"/>
          <w:sz w:val="22"/>
          <w:lang w:val="en-US"/>
        </w:rPr>
        <w:t>e</w:t>
      </w:r>
      <w:r w:rsidR="008267D3" w:rsidRPr="00E4735A">
        <w:rPr>
          <w:rFonts w:cs="Arial"/>
          <w:sz w:val="22"/>
          <w:lang w:val="en-US"/>
        </w:rPr>
        <w:t xml:space="preserve">lectoral </w:t>
      </w:r>
      <w:r w:rsidR="008267D3">
        <w:rPr>
          <w:rFonts w:cs="Arial"/>
          <w:sz w:val="22"/>
          <w:lang w:val="en-US"/>
        </w:rPr>
        <w:t>r</w:t>
      </w:r>
      <w:r w:rsidR="008267D3" w:rsidRPr="00E4735A">
        <w:rPr>
          <w:rFonts w:cs="Arial"/>
          <w:sz w:val="22"/>
          <w:lang w:val="en-US"/>
        </w:rPr>
        <w:t xml:space="preserve">edistribution </w:t>
      </w:r>
      <w:r w:rsidR="008267D3">
        <w:rPr>
          <w:rFonts w:cs="Arial"/>
          <w:sz w:val="22"/>
          <w:lang w:val="en-US"/>
        </w:rPr>
        <w:t xml:space="preserve">is due to occur following </w:t>
      </w:r>
      <w:r w:rsidRPr="00E4735A">
        <w:rPr>
          <w:rFonts w:cs="Arial"/>
          <w:sz w:val="22"/>
          <w:lang w:val="en-US"/>
        </w:rPr>
        <w:t xml:space="preserve">the State General Election in 2024. </w:t>
      </w:r>
    </w:p>
    <w:p w14:paraId="4580AEB1" w14:textId="58BA9FAF" w:rsidR="008267D3" w:rsidRDefault="008267D3" w:rsidP="008267D3">
      <w:pPr>
        <w:spacing w:after="160"/>
        <w:jc w:val="both"/>
        <w:rPr>
          <w:rFonts w:cs="Arial"/>
          <w:sz w:val="22"/>
          <w:lang w:val="en-US"/>
        </w:rPr>
      </w:pPr>
      <w:r w:rsidRPr="00EF32B1">
        <w:rPr>
          <w:rFonts w:cs="Arial"/>
          <w:sz w:val="22"/>
          <w:lang w:val="en-US"/>
        </w:rPr>
        <w:t xml:space="preserve">The Tribunal also noted that there are other electorates above the quota </w:t>
      </w:r>
      <w:r w:rsidR="00C04338">
        <w:rPr>
          <w:rFonts w:cs="Arial"/>
          <w:sz w:val="22"/>
          <w:lang w:val="en-US"/>
        </w:rPr>
        <w:t>that</w:t>
      </w:r>
      <w:r w:rsidRPr="00EF32B1">
        <w:rPr>
          <w:rFonts w:cs="Arial"/>
          <w:sz w:val="22"/>
          <w:lang w:val="en-US"/>
        </w:rPr>
        <w:t xml:space="preserve"> have not </w:t>
      </w:r>
      <w:r w:rsidR="00C04338">
        <w:rPr>
          <w:rFonts w:cs="Arial"/>
          <w:sz w:val="22"/>
          <w:lang w:val="en-US"/>
        </w:rPr>
        <w:t xml:space="preserve">yet </w:t>
      </w:r>
      <w:r w:rsidRPr="00EF32B1">
        <w:rPr>
          <w:rFonts w:cs="Arial"/>
          <w:sz w:val="22"/>
          <w:lang w:val="en-US"/>
        </w:rPr>
        <w:t xml:space="preserve">met the </w:t>
      </w:r>
      <w:r w:rsidR="00B13393">
        <w:rPr>
          <w:rFonts w:cs="Arial"/>
          <w:sz w:val="22"/>
          <w:lang w:val="en-US"/>
        </w:rPr>
        <w:t xml:space="preserve">criteria for </w:t>
      </w:r>
      <w:r w:rsidRPr="00EF32B1">
        <w:rPr>
          <w:rFonts w:cs="Arial"/>
          <w:sz w:val="22"/>
          <w:lang w:val="en-US"/>
        </w:rPr>
        <w:t xml:space="preserve">the High Enrolment Supplement. </w:t>
      </w:r>
      <w:r w:rsidRPr="008267D3">
        <w:rPr>
          <w:rFonts w:cs="Arial"/>
          <w:sz w:val="22"/>
          <w:lang w:val="en-US"/>
        </w:rPr>
        <w:t>The Tribunal i</w:t>
      </w:r>
      <w:r w:rsidRPr="00EF32B1">
        <w:rPr>
          <w:rFonts w:cs="Arial"/>
          <w:sz w:val="22"/>
          <w:lang w:val="en-US"/>
        </w:rPr>
        <w:t xml:space="preserve">s mindful that any adjustment to </w:t>
      </w:r>
      <w:r w:rsidRPr="00EF32B1">
        <w:rPr>
          <w:rFonts w:cs="Arial"/>
          <w:sz w:val="22"/>
          <w:lang w:val="en-US"/>
        </w:rPr>
        <w:lastRenderedPageBreak/>
        <w:t xml:space="preserve">the quantum of the High Enrolment Supplement will only impact on the Member for Coomera until other electorates meet the High Enrolment Supplement eligibility criteria. </w:t>
      </w:r>
    </w:p>
    <w:p w14:paraId="10E05887" w14:textId="48B80F49" w:rsidR="00816804" w:rsidRPr="008267D3" w:rsidRDefault="00771AF5" w:rsidP="00EF32B1">
      <w:pPr>
        <w:spacing w:after="160"/>
        <w:jc w:val="both"/>
        <w:rPr>
          <w:rFonts w:cs="Arial"/>
          <w:sz w:val="22"/>
          <w:lang w:val="en-US"/>
        </w:rPr>
      </w:pPr>
      <w:r w:rsidRPr="008267D3">
        <w:rPr>
          <w:rFonts w:cs="Arial"/>
          <w:sz w:val="22"/>
          <w:lang w:val="en-US"/>
        </w:rPr>
        <w:t xml:space="preserve">The Tribunal </w:t>
      </w:r>
      <w:r w:rsidR="008267D3" w:rsidRPr="00EF32B1">
        <w:rPr>
          <w:rFonts w:cs="Arial"/>
          <w:sz w:val="22"/>
          <w:lang w:val="en-US"/>
        </w:rPr>
        <w:t>noted that the</w:t>
      </w:r>
      <w:r w:rsidR="008267D3">
        <w:rPr>
          <w:rFonts w:cs="Arial"/>
          <w:sz w:val="22"/>
          <w:lang w:val="en-US"/>
        </w:rPr>
        <w:t xml:space="preserve"> </w:t>
      </w:r>
      <w:r w:rsidR="00B13393">
        <w:rPr>
          <w:rFonts w:cs="Arial"/>
          <w:sz w:val="22"/>
          <w:lang w:val="en-US"/>
        </w:rPr>
        <w:t>H</w:t>
      </w:r>
      <w:r w:rsidR="008267D3">
        <w:rPr>
          <w:rFonts w:cs="Arial"/>
          <w:sz w:val="22"/>
          <w:lang w:val="en-US"/>
        </w:rPr>
        <w:t xml:space="preserve">igh </w:t>
      </w:r>
      <w:r w:rsidR="00B13393">
        <w:rPr>
          <w:rFonts w:cs="Arial"/>
          <w:sz w:val="22"/>
          <w:lang w:val="en-US"/>
        </w:rPr>
        <w:t>E</w:t>
      </w:r>
      <w:r w:rsidR="008267D3">
        <w:rPr>
          <w:rFonts w:cs="Arial"/>
          <w:sz w:val="22"/>
          <w:lang w:val="en-US"/>
        </w:rPr>
        <w:t xml:space="preserve">nrolment </w:t>
      </w:r>
      <w:r w:rsidR="00B13393">
        <w:rPr>
          <w:rFonts w:cs="Arial"/>
          <w:sz w:val="22"/>
          <w:lang w:val="en-US"/>
        </w:rPr>
        <w:t>S</w:t>
      </w:r>
      <w:r w:rsidR="008267D3">
        <w:rPr>
          <w:rFonts w:cs="Arial"/>
          <w:sz w:val="22"/>
          <w:lang w:val="en-US"/>
        </w:rPr>
        <w:t>upplement amount of $2500 is equivalent to the</w:t>
      </w:r>
      <w:r w:rsidR="00C04338">
        <w:rPr>
          <w:rFonts w:cs="Arial"/>
          <w:sz w:val="22"/>
          <w:lang w:val="en-US"/>
        </w:rPr>
        <w:t xml:space="preserve"> </w:t>
      </w:r>
      <w:r w:rsidR="00B13393">
        <w:rPr>
          <w:rFonts w:cs="Arial"/>
          <w:sz w:val="22"/>
          <w:lang w:val="en-US"/>
        </w:rPr>
        <w:t xml:space="preserve">greatest </w:t>
      </w:r>
      <w:r w:rsidR="00C04338">
        <w:rPr>
          <w:rFonts w:cs="Arial"/>
          <w:sz w:val="22"/>
          <w:lang w:val="en-US"/>
        </w:rPr>
        <w:t xml:space="preserve">difference between </w:t>
      </w:r>
      <w:r w:rsidR="00B13393">
        <w:rPr>
          <w:rFonts w:cs="Arial"/>
          <w:sz w:val="22"/>
          <w:lang w:val="en-US"/>
        </w:rPr>
        <w:t xml:space="preserve">the ECA bands (i.e. the difference between </w:t>
      </w:r>
      <w:r w:rsidR="00C04338">
        <w:rPr>
          <w:rFonts w:cs="Arial"/>
          <w:sz w:val="22"/>
          <w:lang w:val="en-US"/>
        </w:rPr>
        <w:t>band 2 and band 3</w:t>
      </w:r>
      <w:r w:rsidR="00B13393">
        <w:rPr>
          <w:rFonts w:cs="Arial"/>
          <w:sz w:val="22"/>
          <w:lang w:val="en-US"/>
        </w:rPr>
        <w:t>)</w:t>
      </w:r>
      <w:r w:rsidR="008267D3">
        <w:rPr>
          <w:rFonts w:cs="Arial"/>
          <w:sz w:val="22"/>
          <w:lang w:val="en-US"/>
        </w:rPr>
        <w:t xml:space="preserve">. </w:t>
      </w:r>
    </w:p>
    <w:p w14:paraId="4F3DAF3F" w14:textId="0DC3180C" w:rsidR="00771AF5" w:rsidRPr="00B13393" w:rsidRDefault="002E4E0C" w:rsidP="00EF32B1">
      <w:pPr>
        <w:spacing w:after="160"/>
        <w:jc w:val="both"/>
        <w:rPr>
          <w:rFonts w:cs="Arial"/>
          <w:sz w:val="22"/>
          <w:lang w:val="en-US"/>
        </w:rPr>
      </w:pPr>
      <w:r>
        <w:rPr>
          <w:rFonts w:cs="Arial"/>
          <w:sz w:val="22"/>
          <w:lang w:val="en-US"/>
        </w:rPr>
        <w:t>The</w:t>
      </w:r>
      <w:r w:rsidR="00C04338" w:rsidRPr="00EF32B1">
        <w:rPr>
          <w:rFonts w:cs="Arial"/>
          <w:sz w:val="22"/>
          <w:lang w:val="en-US"/>
        </w:rPr>
        <w:t xml:space="preserve"> </w:t>
      </w:r>
      <w:r w:rsidR="00771AF5" w:rsidRPr="00B13393">
        <w:rPr>
          <w:rFonts w:cs="Arial"/>
          <w:sz w:val="22"/>
          <w:lang w:val="en-US"/>
        </w:rPr>
        <w:t>Tribunal decided to increase the</w:t>
      </w:r>
      <w:r w:rsidR="00E4735A" w:rsidRPr="00B13393">
        <w:rPr>
          <w:rFonts w:cs="Arial"/>
          <w:sz w:val="22"/>
          <w:lang w:val="en-US"/>
        </w:rPr>
        <w:t xml:space="preserve"> High Enrolment</w:t>
      </w:r>
      <w:r w:rsidR="00771AF5" w:rsidRPr="00B13393">
        <w:rPr>
          <w:rFonts w:cs="Arial"/>
          <w:sz w:val="22"/>
          <w:lang w:val="en-US"/>
        </w:rPr>
        <w:t xml:space="preserve"> Supplement to $5</w:t>
      </w:r>
      <w:r w:rsidR="005314E9" w:rsidRPr="00B13393">
        <w:rPr>
          <w:rFonts w:cs="Arial"/>
          <w:sz w:val="22"/>
          <w:lang w:val="en-US"/>
        </w:rPr>
        <w:t>,</w:t>
      </w:r>
      <w:r w:rsidR="00771AF5" w:rsidRPr="00B13393">
        <w:rPr>
          <w:rFonts w:cs="Arial"/>
          <w:sz w:val="22"/>
          <w:lang w:val="en-US"/>
        </w:rPr>
        <w:t>000 per financial year</w:t>
      </w:r>
      <w:r w:rsidR="00C04338" w:rsidRPr="00EF32B1">
        <w:rPr>
          <w:rFonts w:cs="Arial"/>
          <w:sz w:val="22"/>
          <w:lang w:val="en-US"/>
        </w:rPr>
        <w:t xml:space="preserve"> </w:t>
      </w:r>
      <w:r w:rsidR="00771AF5" w:rsidRPr="00B13393">
        <w:rPr>
          <w:rFonts w:cs="Arial"/>
          <w:sz w:val="22"/>
          <w:lang w:val="en-US"/>
        </w:rPr>
        <w:t xml:space="preserve">with no further consideration of changes to the quantum of the High Enrolment Supplement to occur until the next State Electoral Redistribution takes effect. </w:t>
      </w:r>
    </w:p>
    <w:p w14:paraId="715B488E" w14:textId="3895438B" w:rsidR="00E4735A" w:rsidRDefault="00E4735A" w:rsidP="00816804">
      <w:pPr>
        <w:pStyle w:val="Subtitle"/>
        <w:keepNext/>
        <w:spacing w:after="160"/>
        <w:rPr>
          <w:rFonts w:ascii="Arial" w:hAnsi="Arial" w:cs="Arial"/>
          <w:b/>
          <w:bCs/>
          <w:i w:val="0"/>
          <w:iCs w:val="0"/>
        </w:rPr>
      </w:pPr>
      <w:r>
        <w:rPr>
          <w:rFonts w:ascii="Arial" w:hAnsi="Arial" w:cs="Arial"/>
          <w:b/>
          <w:bCs/>
          <w:i w:val="0"/>
          <w:iCs w:val="0"/>
        </w:rPr>
        <w:t>General Travel Entitlement (GTE)</w:t>
      </w:r>
    </w:p>
    <w:p w14:paraId="21DFD008" w14:textId="02A0402C" w:rsidR="00E4735A" w:rsidRPr="00E4735A" w:rsidRDefault="00E4735A" w:rsidP="00E4735A">
      <w:pPr>
        <w:spacing w:after="160"/>
        <w:jc w:val="both"/>
        <w:rPr>
          <w:rFonts w:eastAsia="Calibri" w:cs="Arial"/>
          <w:bCs/>
          <w:sz w:val="22"/>
        </w:rPr>
      </w:pPr>
      <w:r w:rsidRPr="00E4735A">
        <w:rPr>
          <w:rFonts w:eastAsia="Calibri" w:cs="Arial"/>
          <w:bCs/>
          <w:sz w:val="22"/>
        </w:rPr>
        <w:t xml:space="preserve">The </w:t>
      </w:r>
      <w:r>
        <w:rPr>
          <w:rFonts w:eastAsia="Calibri" w:cs="Arial"/>
          <w:bCs/>
          <w:sz w:val="22"/>
        </w:rPr>
        <w:t>GTE</w:t>
      </w:r>
      <w:r w:rsidRPr="00E4735A">
        <w:rPr>
          <w:rFonts w:eastAsia="Calibri" w:cs="Arial"/>
          <w:bCs/>
          <w:sz w:val="22"/>
        </w:rPr>
        <w:t xml:space="preserve"> consists of three components: </w:t>
      </w:r>
    </w:p>
    <w:p w14:paraId="223C9328" w14:textId="3EBFAA0E" w:rsidR="00E4735A" w:rsidRPr="00E4735A" w:rsidRDefault="00E4735A" w:rsidP="00E4735A">
      <w:pPr>
        <w:pStyle w:val="ListParagraph"/>
        <w:numPr>
          <w:ilvl w:val="0"/>
          <w:numId w:val="16"/>
        </w:numPr>
        <w:spacing w:after="160"/>
        <w:jc w:val="both"/>
        <w:rPr>
          <w:rFonts w:ascii="Arial" w:hAnsi="Arial" w:cs="Arial"/>
        </w:rPr>
      </w:pPr>
      <w:r w:rsidRPr="00DF3065">
        <w:rPr>
          <w:rFonts w:ascii="Arial" w:hAnsi="Arial" w:cs="Arial"/>
          <w:u w:val="single"/>
        </w:rPr>
        <w:t>the Motor Vehicle Allowance</w:t>
      </w:r>
      <w:r w:rsidR="005314E9">
        <w:rPr>
          <w:rFonts w:ascii="Arial" w:hAnsi="Arial" w:cs="Arial"/>
        </w:rPr>
        <w:t xml:space="preserve"> </w:t>
      </w:r>
      <w:r w:rsidRPr="00E4735A">
        <w:rPr>
          <w:rFonts w:ascii="Arial" w:hAnsi="Arial" w:cs="Arial"/>
        </w:rPr>
        <w:t>- covers expenditure incurred in acquiring and maintaining a member’s vehicle.</w:t>
      </w:r>
    </w:p>
    <w:p w14:paraId="08E62D9E" w14:textId="1A9A9BB5" w:rsidR="00E4735A" w:rsidRPr="00E4735A" w:rsidRDefault="00E4735A" w:rsidP="00E4735A">
      <w:pPr>
        <w:pStyle w:val="ListParagraph"/>
        <w:numPr>
          <w:ilvl w:val="0"/>
          <w:numId w:val="16"/>
        </w:numPr>
        <w:spacing w:after="160"/>
        <w:jc w:val="both"/>
        <w:rPr>
          <w:rFonts w:ascii="Arial" w:hAnsi="Arial" w:cs="Arial"/>
          <w:u w:val="single"/>
        </w:rPr>
      </w:pPr>
      <w:r w:rsidRPr="00DF3065">
        <w:rPr>
          <w:rFonts w:ascii="Arial" w:hAnsi="Arial" w:cs="Arial"/>
          <w:u w:val="single"/>
        </w:rPr>
        <w:t>the General Travel Allocation</w:t>
      </w:r>
      <w:r w:rsidRPr="00E4735A">
        <w:rPr>
          <w:rFonts w:ascii="Arial" w:hAnsi="Arial" w:cs="Arial"/>
        </w:rPr>
        <w:t xml:space="preserve"> - covers a range of travel expenses incurred by members (and in limited cases, their spouses and staff) when required to travel for the primary purpose of conducting </w:t>
      </w:r>
      <w:r w:rsidRPr="003176AB">
        <w:rPr>
          <w:rFonts w:ascii="Arial" w:hAnsi="Arial" w:cs="Arial"/>
        </w:rPr>
        <w:t>Parliamentary Business</w:t>
      </w:r>
      <w:r w:rsidRPr="00E4735A">
        <w:rPr>
          <w:rStyle w:val="FootnoteReference"/>
          <w:rFonts w:ascii="Arial" w:hAnsi="Arial" w:cs="Arial"/>
          <w:i/>
          <w:iCs/>
        </w:rPr>
        <w:footnoteReference w:id="1"/>
      </w:r>
      <w:r w:rsidRPr="00E4735A">
        <w:rPr>
          <w:rFonts w:ascii="Arial" w:hAnsi="Arial" w:cs="Arial"/>
        </w:rPr>
        <w:t xml:space="preserve"> (incorporates air and ground travel and overnight expenses). </w:t>
      </w:r>
    </w:p>
    <w:p w14:paraId="0170AFD7" w14:textId="77777777" w:rsidR="00E4735A" w:rsidRPr="00E4735A" w:rsidRDefault="00E4735A" w:rsidP="00E4735A">
      <w:pPr>
        <w:pStyle w:val="ListParagraph"/>
        <w:numPr>
          <w:ilvl w:val="0"/>
          <w:numId w:val="16"/>
        </w:numPr>
        <w:spacing w:after="160"/>
        <w:jc w:val="both"/>
        <w:rPr>
          <w:rFonts w:ascii="Arial" w:hAnsi="Arial" w:cs="Arial"/>
        </w:rPr>
      </w:pPr>
      <w:r w:rsidRPr="00DF3065">
        <w:rPr>
          <w:rFonts w:ascii="Arial" w:hAnsi="Arial" w:cs="Arial"/>
          <w:u w:val="single"/>
        </w:rPr>
        <w:t>Air Warrant (Alternate) travel</w:t>
      </w:r>
      <w:r w:rsidRPr="00E4735A">
        <w:rPr>
          <w:rFonts w:ascii="Arial" w:hAnsi="Arial" w:cs="Arial"/>
          <w:b/>
          <w:bCs/>
        </w:rPr>
        <w:t xml:space="preserve"> </w:t>
      </w:r>
      <w:r w:rsidRPr="00E4735A">
        <w:rPr>
          <w:rFonts w:ascii="Arial" w:hAnsi="Arial" w:cs="Arial"/>
        </w:rPr>
        <w:t xml:space="preserve">- facilitates travel from certain regional electorates to/from Brisbane to conduct Parliamentary Business. </w:t>
      </w:r>
    </w:p>
    <w:p w14:paraId="5B166960" w14:textId="41C8273D" w:rsidR="00E4735A" w:rsidRPr="00E4735A" w:rsidRDefault="00E4735A" w:rsidP="00E4735A">
      <w:pPr>
        <w:spacing w:after="160"/>
        <w:jc w:val="both"/>
        <w:rPr>
          <w:rStyle w:val="Hyperlink"/>
          <w:rFonts w:eastAsia="Calibri" w:cs="Arial"/>
          <w:color w:val="auto"/>
          <w:sz w:val="22"/>
        </w:rPr>
      </w:pPr>
      <w:r w:rsidRPr="00E4735A">
        <w:rPr>
          <w:rFonts w:eastAsia="Calibri" w:cs="Arial"/>
          <w:sz w:val="22"/>
        </w:rPr>
        <w:t xml:space="preserve">The </w:t>
      </w:r>
      <w:r w:rsidRPr="00DF3065">
        <w:rPr>
          <w:rFonts w:eastAsia="Calibri" w:cs="Arial"/>
          <w:sz w:val="22"/>
          <w:u w:val="single"/>
        </w:rPr>
        <w:t>Parliamentary Business Overnight Rate</w:t>
      </w:r>
      <w:r w:rsidRPr="00E4735A">
        <w:rPr>
          <w:rFonts w:eastAsia="Calibri" w:cs="Arial"/>
          <w:sz w:val="22"/>
        </w:rPr>
        <w:t xml:space="preserve"> (Brisbane) (PBOR) can also be claimed </w:t>
      </w:r>
      <w:r w:rsidR="00816804">
        <w:rPr>
          <w:rFonts w:eastAsia="Calibri" w:cs="Arial"/>
          <w:sz w:val="22"/>
        </w:rPr>
        <w:t>(</w:t>
      </w:r>
      <w:r w:rsidRPr="00E4735A">
        <w:rPr>
          <w:rFonts w:eastAsia="Calibri" w:cs="Arial"/>
          <w:sz w:val="22"/>
        </w:rPr>
        <w:t>outside of the GTA</w:t>
      </w:r>
      <w:r w:rsidR="00816804">
        <w:rPr>
          <w:rFonts w:eastAsia="Calibri" w:cs="Arial"/>
          <w:sz w:val="22"/>
        </w:rPr>
        <w:t>)</w:t>
      </w:r>
      <w:r w:rsidRPr="00E4735A">
        <w:rPr>
          <w:rFonts w:eastAsia="Calibri" w:cs="Arial"/>
          <w:sz w:val="22"/>
        </w:rPr>
        <w:t xml:space="preserve"> </w:t>
      </w:r>
      <w:r w:rsidR="00816804">
        <w:rPr>
          <w:rFonts w:eastAsia="Calibri" w:cs="Arial"/>
          <w:sz w:val="22"/>
        </w:rPr>
        <w:t>by</w:t>
      </w:r>
      <w:r w:rsidRPr="00E4735A">
        <w:rPr>
          <w:rFonts w:eastAsia="Calibri" w:cs="Arial"/>
          <w:sz w:val="22"/>
        </w:rPr>
        <w:t xml:space="preserve"> members representing certain electorates for overnight stays in Brisbane where the member is travelling for the primary purpose of conducting Parliamentary Business in Brisbane city. </w:t>
      </w:r>
    </w:p>
    <w:p w14:paraId="0DDB348E" w14:textId="42C3BAD3" w:rsidR="00F61A3C" w:rsidRPr="00E4735A" w:rsidRDefault="00F61A3C" w:rsidP="00F61A3C">
      <w:pPr>
        <w:pStyle w:val="Subtitle"/>
        <w:spacing w:after="160"/>
        <w:rPr>
          <w:rFonts w:ascii="Arial" w:hAnsi="Arial" w:cs="Arial"/>
        </w:rPr>
      </w:pPr>
      <w:r>
        <w:rPr>
          <w:rFonts w:ascii="Arial" w:hAnsi="Arial" w:cs="Arial"/>
        </w:rPr>
        <w:t>Motor Vehicle Allowance (MVA)</w:t>
      </w:r>
    </w:p>
    <w:p w14:paraId="027A0DE3" w14:textId="77777777" w:rsidR="00F61A3C" w:rsidRPr="00F61A3C" w:rsidRDefault="00F61A3C" w:rsidP="00F61A3C">
      <w:pPr>
        <w:spacing w:after="200" w:line="276" w:lineRule="auto"/>
        <w:jc w:val="both"/>
        <w:rPr>
          <w:rFonts w:eastAsia="Calibri" w:cs="Arial"/>
          <w:sz w:val="22"/>
        </w:rPr>
      </w:pPr>
      <w:r w:rsidRPr="00F61A3C">
        <w:rPr>
          <w:rFonts w:eastAsia="Calibri" w:cs="Arial"/>
          <w:sz w:val="22"/>
        </w:rPr>
        <w:t xml:space="preserve">The MVA is provided to cover expenditure incurred in acquiring and maintaining a member’s vehicle. It is paid to members in advance on a quarterly basis and there is no carry over to the following year. A motor vehicle purchased or leased with the assistance of this allowance is the property of the member. </w:t>
      </w:r>
    </w:p>
    <w:p w14:paraId="127410DA" w14:textId="071FFFE3" w:rsidR="00F61A3C" w:rsidRPr="00F61A3C" w:rsidRDefault="00F61A3C" w:rsidP="00F61A3C">
      <w:pPr>
        <w:spacing w:after="200" w:line="276" w:lineRule="auto"/>
        <w:jc w:val="both"/>
        <w:rPr>
          <w:rFonts w:eastAsia="Calibri" w:cs="Arial"/>
          <w:sz w:val="22"/>
        </w:rPr>
      </w:pPr>
      <w:r w:rsidRPr="00F61A3C">
        <w:rPr>
          <w:rFonts w:eastAsia="Calibri" w:cs="Arial"/>
          <w:sz w:val="22"/>
        </w:rPr>
        <w:t xml:space="preserve">The MVA bands, amounts and electorate sizes are detailed in Table </w:t>
      </w:r>
      <w:r w:rsidR="00DF3065">
        <w:rPr>
          <w:rFonts w:eastAsia="Calibri" w:cs="Arial"/>
          <w:sz w:val="22"/>
        </w:rPr>
        <w:t>2</w:t>
      </w:r>
      <w:r w:rsidRPr="00F61A3C">
        <w:rPr>
          <w:rFonts w:eastAsia="Calibri" w:cs="Arial"/>
          <w:sz w:val="22"/>
        </w:rPr>
        <w:t xml:space="preserve">.  </w:t>
      </w:r>
    </w:p>
    <w:p w14:paraId="09B74142" w14:textId="0BC65AC3" w:rsidR="00F61A3C" w:rsidRPr="00F61A3C" w:rsidRDefault="00F61A3C" w:rsidP="00F61A3C">
      <w:pPr>
        <w:keepNext/>
        <w:spacing w:after="0" w:line="276" w:lineRule="auto"/>
        <w:jc w:val="both"/>
        <w:rPr>
          <w:rFonts w:eastAsia="Calibri" w:cs="Arial"/>
          <w:b/>
          <w:bCs/>
          <w:sz w:val="18"/>
          <w:szCs w:val="18"/>
        </w:rPr>
      </w:pPr>
      <w:r w:rsidRPr="00F61A3C">
        <w:rPr>
          <w:rFonts w:eastAsia="Calibri" w:cs="Arial"/>
          <w:b/>
          <w:bCs/>
          <w:sz w:val="18"/>
          <w:szCs w:val="18"/>
        </w:rPr>
        <w:t xml:space="preserve">Table </w:t>
      </w:r>
      <w:r w:rsidR="00DF3065">
        <w:rPr>
          <w:rFonts w:eastAsia="Calibri" w:cs="Arial"/>
          <w:b/>
          <w:bCs/>
          <w:sz w:val="18"/>
          <w:szCs w:val="18"/>
        </w:rPr>
        <w:t>2</w:t>
      </w:r>
      <w:r w:rsidRPr="00F61A3C">
        <w:rPr>
          <w:rFonts w:eastAsia="Calibri" w:cs="Arial"/>
          <w:b/>
          <w:bCs/>
          <w:sz w:val="18"/>
          <w:szCs w:val="18"/>
        </w:rPr>
        <w:t>: Motor Vehicle Allowance</w:t>
      </w:r>
    </w:p>
    <w:tbl>
      <w:tblPr>
        <w:tblStyle w:val="TableGrid"/>
        <w:tblW w:w="0" w:type="auto"/>
        <w:jc w:val="center"/>
        <w:tblInd w:w="0" w:type="dxa"/>
        <w:tblLook w:val="04A0" w:firstRow="1" w:lastRow="0" w:firstColumn="1" w:lastColumn="0" w:noHBand="0" w:noVBand="1"/>
      </w:tblPr>
      <w:tblGrid>
        <w:gridCol w:w="2694"/>
        <w:gridCol w:w="3118"/>
        <w:gridCol w:w="3119"/>
      </w:tblGrid>
      <w:tr w:rsidR="00F61A3C" w:rsidRPr="00F61A3C" w14:paraId="79F940A1" w14:textId="77777777" w:rsidTr="00CA1026">
        <w:trPr>
          <w:jc w:val="center"/>
        </w:trPr>
        <w:tc>
          <w:tcPr>
            <w:tcW w:w="2694"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57" w:type="dxa"/>
              <w:bottom w:w="0" w:type="dxa"/>
              <w:right w:w="57" w:type="dxa"/>
            </w:tcMar>
            <w:hideMark/>
          </w:tcPr>
          <w:p w14:paraId="564F2E15" w14:textId="77777777" w:rsidR="00F61A3C" w:rsidRPr="00DF3065" w:rsidRDefault="00F61A3C" w:rsidP="002C239F">
            <w:pPr>
              <w:keepNext/>
              <w:keepLines/>
              <w:rPr>
                <w:rFonts w:eastAsia="Calibri" w:cs="Arial"/>
                <w:b/>
                <w:bCs/>
                <w:sz w:val="18"/>
                <w:szCs w:val="18"/>
              </w:rPr>
            </w:pPr>
            <w:r w:rsidRPr="00DF3065">
              <w:rPr>
                <w:rFonts w:eastAsia="Calibri" w:cs="Arial"/>
                <w:b/>
                <w:bCs/>
                <w:sz w:val="18"/>
                <w:szCs w:val="18"/>
              </w:rPr>
              <w:t>Band</w:t>
            </w:r>
          </w:p>
        </w:tc>
        <w:tc>
          <w:tcPr>
            <w:tcW w:w="3118"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57" w:type="dxa"/>
              <w:bottom w:w="0" w:type="dxa"/>
              <w:right w:w="57" w:type="dxa"/>
            </w:tcMar>
            <w:hideMark/>
          </w:tcPr>
          <w:p w14:paraId="36A7C2CE" w14:textId="77777777" w:rsidR="00F61A3C" w:rsidRPr="00DF3065" w:rsidRDefault="00F61A3C" w:rsidP="002C239F">
            <w:pPr>
              <w:keepNext/>
              <w:keepLines/>
              <w:rPr>
                <w:rFonts w:eastAsia="Calibri" w:cs="Arial"/>
                <w:b/>
                <w:bCs/>
                <w:sz w:val="18"/>
                <w:szCs w:val="18"/>
              </w:rPr>
            </w:pPr>
            <w:r w:rsidRPr="00DF3065">
              <w:rPr>
                <w:rFonts w:eastAsia="Calibri" w:cs="Arial"/>
                <w:b/>
                <w:bCs/>
                <w:sz w:val="18"/>
                <w:szCs w:val="18"/>
              </w:rPr>
              <w:t>MVA amount</w:t>
            </w:r>
          </w:p>
        </w:tc>
        <w:tc>
          <w:tcPr>
            <w:tcW w:w="3119" w:type="dxa"/>
            <w:tcBorders>
              <w:top w:val="single" w:sz="4" w:space="0" w:color="auto"/>
              <w:left w:val="single" w:sz="4" w:space="0" w:color="auto"/>
              <w:bottom w:val="single" w:sz="4" w:space="0" w:color="auto"/>
              <w:right w:val="single" w:sz="4" w:space="0" w:color="auto"/>
            </w:tcBorders>
            <w:shd w:val="clear" w:color="auto" w:fill="9CC2E5" w:themeFill="accent1" w:themeFillTint="99"/>
            <w:tcMar>
              <w:top w:w="0" w:type="dxa"/>
              <w:left w:w="57" w:type="dxa"/>
              <w:bottom w:w="0" w:type="dxa"/>
              <w:right w:w="57" w:type="dxa"/>
            </w:tcMar>
            <w:hideMark/>
          </w:tcPr>
          <w:p w14:paraId="5CE9373F" w14:textId="77777777" w:rsidR="00F61A3C" w:rsidRPr="00DF3065" w:rsidRDefault="00F61A3C" w:rsidP="002C239F">
            <w:pPr>
              <w:keepNext/>
              <w:keepLines/>
              <w:rPr>
                <w:rFonts w:eastAsia="Calibri" w:cs="Arial"/>
                <w:b/>
                <w:bCs/>
                <w:sz w:val="18"/>
                <w:szCs w:val="18"/>
              </w:rPr>
            </w:pPr>
            <w:r w:rsidRPr="00DF3065">
              <w:rPr>
                <w:rFonts w:eastAsia="Calibri" w:cs="Arial"/>
                <w:b/>
                <w:bCs/>
                <w:sz w:val="18"/>
                <w:szCs w:val="18"/>
              </w:rPr>
              <w:t>Electorate km2</w:t>
            </w:r>
          </w:p>
        </w:tc>
      </w:tr>
      <w:tr w:rsidR="00F61A3C" w:rsidRPr="00F61A3C" w14:paraId="1DF7B03E" w14:textId="77777777" w:rsidTr="00CA1026">
        <w:trPr>
          <w:jc w:val="center"/>
        </w:trPr>
        <w:tc>
          <w:tcPr>
            <w:tcW w:w="26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314B09" w14:textId="77777777" w:rsidR="00F61A3C" w:rsidRPr="00DF3065" w:rsidRDefault="00F61A3C" w:rsidP="002C239F">
            <w:pPr>
              <w:keepNext/>
              <w:keepLines/>
              <w:rPr>
                <w:rFonts w:eastAsia="Calibri" w:cs="Arial"/>
                <w:sz w:val="18"/>
                <w:szCs w:val="18"/>
              </w:rPr>
            </w:pPr>
            <w:r w:rsidRPr="00DF3065">
              <w:rPr>
                <w:rFonts w:eastAsia="Calibri" w:cs="Arial"/>
                <w:sz w:val="18"/>
                <w:szCs w:val="18"/>
              </w:rPr>
              <w:t>Band 1</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187D80" w14:textId="77777777" w:rsidR="00F61A3C" w:rsidRPr="00DF3065" w:rsidRDefault="00F61A3C" w:rsidP="002C239F">
            <w:pPr>
              <w:keepNext/>
              <w:keepLines/>
              <w:rPr>
                <w:rFonts w:eastAsia="Calibri" w:cs="Arial"/>
                <w:sz w:val="18"/>
                <w:szCs w:val="18"/>
              </w:rPr>
            </w:pPr>
            <w:r w:rsidRPr="00DF3065">
              <w:rPr>
                <w:rFonts w:eastAsia="Calibri" w:cs="Arial"/>
                <w:sz w:val="18"/>
                <w:szCs w:val="18"/>
              </w:rPr>
              <w:t>$27,100</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6935A30" w14:textId="77777777" w:rsidR="00F61A3C" w:rsidRPr="00DF3065" w:rsidRDefault="00F61A3C" w:rsidP="002C239F">
            <w:pPr>
              <w:keepNext/>
              <w:keepLines/>
              <w:rPr>
                <w:rFonts w:eastAsia="Calibri" w:cs="Arial"/>
                <w:sz w:val="18"/>
                <w:szCs w:val="18"/>
              </w:rPr>
            </w:pPr>
            <w:r w:rsidRPr="00DF3065">
              <w:rPr>
                <w:rFonts w:eastAsia="Calibri" w:cs="Arial"/>
                <w:sz w:val="18"/>
                <w:szCs w:val="18"/>
              </w:rPr>
              <w:t>0-1000</w:t>
            </w:r>
          </w:p>
        </w:tc>
      </w:tr>
      <w:tr w:rsidR="00F61A3C" w:rsidRPr="00F61A3C" w14:paraId="100C095D" w14:textId="77777777" w:rsidTr="00CA1026">
        <w:trPr>
          <w:jc w:val="center"/>
        </w:trPr>
        <w:tc>
          <w:tcPr>
            <w:tcW w:w="26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231029B" w14:textId="77777777" w:rsidR="00F61A3C" w:rsidRPr="00DF3065" w:rsidRDefault="00F61A3C" w:rsidP="002C239F">
            <w:pPr>
              <w:keepNext/>
              <w:keepLines/>
              <w:rPr>
                <w:rFonts w:eastAsia="Calibri" w:cs="Arial"/>
                <w:sz w:val="18"/>
                <w:szCs w:val="18"/>
              </w:rPr>
            </w:pPr>
            <w:r w:rsidRPr="00DF3065">
              <w:rPr>
                <w:rFonts w:eastAsia="Calibri" w:cs="Arial"/>
                <w:sz w:val="18"/>
                <w:szCs w:val="18"/>
              </w:rPr>
              <w:t>Band 2</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3DC41B" w14:textId="77777777" w:rsidR="00F61A3C" w:rsidRPr="00DF3065" w:rsidRDefault="00F61A3C" w:rsidP="002C239F">
            <w:pPr>
              <w:keepNext/>
              <w:keepLines/>
              <w:rPr>
                <w:rFonts w:eastAsia="Calibri" w:cs="Arial"/>
                <w:sz w:val="18"/>
                <w:szCs w:val="18"/>
              </w:rPr>
            </w:pPr>
            <w:r w:rsidRPr="00DF3065">
              <w:rPr>
                <w:rFonts w:eastAsia="Calibri" w:cs="Arial"/>
                <w:sz w:val="18"/>
                <w:szCs w:val="18"/>
              </w:rPr>
              <w:t>$34,000</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992ACE" w14:textId="77777777" w:rsidR="00F61A3C" w:rsidRPr="00DF3065" w:rsidRDefault="00F61A3C" w:rsidP="002C239F">
            <w:pPr>
              <w:keepNext/>
              <w:keepLines/>
              <w:rPr>
                <w:rFonts w:eastAsia="Calibri" w:cs="Arial"/>
                <w:sz w:val="18"/>
                <w:szCs w:val="18"/>
              </w:rPr>
            </w:pPr>
            <w:r w:rsidRPr="00DF3065">
              <w:rPr>
                <w:rFonts w:eastAsia="Calibri" w:cs="Arial"/>
                <w:sz w:val="18"/>
                <w:szCs w:val="18"/>
              </w:rPr>
              <w:t>1001-10,000</w:t>
            </w:r>
          </w:p>
        </w:tc>
      </w:tr>
      <w:tr w:rsidR="00F61A3C" w:rsidRPr="00F61A3C" w14:paraId="0688C577" w14:textId="77777777" w:rsidTr="00CA1026">
        <w:trPr>
          <w:jc w:val="center"/>
        </w:trPr>
        <w:tc>
          <w:tcPr>
            <w:tcW w:w="26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8CFF73F" w14:textId="25C067D1" w:rsidR="00F61A3C" w:rsidRPr="00DF3065" w:rsidRDefault="00F61A3C" w:rsidP="002C239F">
            <w:pPr>
              <w:keepNext/>
              <w:keepLines/>
              <w:rPr>
                <w:rFonts w:eastAsia="Calibri" w:cs="Arial"/>
                <w:sz w:val="18"/>
                <w:szCs w:val="18"/>
              </w:rPr>
            </w:pPr>
            <w:r w:rsidRPr="00DF3065">
              <w:rPr>
                <w:rFonts w:eastAsia="Calibri" w:cs="Arial"/>
                <w:sz w:val="18"/>
                <w:szCs w:val="18"/>
              </w:rPr>
              <w:t>Band 3</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D4D0A26" w14:textId="77777777" w:rsidR="00F61A3C" w:rsidRPr="00DF3065" w:rsidRDefault="00F61A3C" w:rsidP="002C239F">
            <w:pPr>
              <w:keepNext/>
              <w:keepLines/>
              <w:rPr>
                <w:rFonts w:eastAsia="Calibri" w:cs="Arial"/>
                <w:sz w:val="18"/>
                <w:szCs w:val="18"/>
              </w:rPr>
            </w:pPr>
            <w:r w:rsidRPr="00DF3065">
              <w:rPr>
                <w:rFonts w:eastAsia="Calibri" w:cs="Arial"/>
                <w:sz w:val="18"/>
                <w:szCs w:val="18"/>
              </w:rPr>
              <w:t>$44,600</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8B1A9D" w14:textId="77777777" w:rsidR="00F61A3C" w:rsidRPr="00DF3065" w:rsidRDefault="00F61A3C" w:rsidP="002C239F">
            <w:pPr>
              <w:keepNext/>
              <w:keepLines/>
              <w:rPr>
                <w:rFonts w:eastAsia="Calibri" w:cs="Arial"/>
                <w:sz w:val="18"/>
                <w:szCs w:val="18"/>
              </w:rPr>
            </w:pPr>
            <w:r w:rsidRPr="00DF3065">
              <w:rPr>
                <w:rFonts w:eastAsia="Calibri" w:cs="Arial"/>
                <w:sz w:val="18"/>
                <w:szCs w:val="18"/>
              </w:rPr>
              <w:t>10,001 and over</w:t>
            </w:r>
          </w:p>
        </w:tc>
      </w:tr>
    </w:tbl>
    <w:p w14:paraId="480C2432" w14:textId="351F508C" w:rsidR="00F61A3C" w:rsidRDefault="00F61A3C" w:rsidP="00F61A3C">
      <w:pPr>
        <w:spacing w:before="200" w:after="200" w:line="276" w:lineRule="auto"/>
        <w:jc w:val="both"/>
        <w:rPr>
          <w:rFonts w:eastAsia="Calibri" w:cs="Arial"/>
          <w:sz w:val="22"/>
        </w:rPr>
      </w:pPr>
      <w:r w:rsidRPr="00F61A3C">
        <w:rPr>
          <w:rFonts w:eastAsia="Calibri" w:cs="Arial"/>
          <w:sz w:val="22"/>
        </w:rPr>
        <w:t>In accordance with Determination 2/2013, the MVA is not subject to acquittal, reporting or audit requirements. The allowance is subject to PAYG income tax and members are required to comply with Australian Taxation Office</w:t>
      </w:r>
      <w:r w:rsidR="00816804">
        <w:rPr>
          <w:rFonts w:eastAsia="Calibri" w:cs="Arial"/>
          <w:sz w:val="22"/>
        </w:rPr>
        <w:t xml:space="preserve"> (ATO)</w:t>
      </w:r>
      <w:r w:rsidRPr="00F61A3C">
        <w:rPr>
          <w:rFonts w:eastAsia="Calibri" w:cs="Arial"/>
          <w:sz w:val="22"/>
        </w:rPr>
        <w:t xml:space="preserve"> requirements as they relate to motor vehicle allowances. </w:t>
      </w:r>
    </w:p>
    <w:p w14:paraId="1A4E2F0C" w14:textId="77777777" w:rsidR="00816804" w:rsidRDefault="00F61A3C" w:rsidP="00EF32B1">
      <w:pPr>
        <w:spacing w:before="200" w:after="200" w:line="276" w:lineRule="auto"/>
        <w:jc w:val="both"/>
        <w:rPr>
          <w:rFonts w:eastAsia="Calibri" w:cs="Arial"/>
          <w:sz w:val="22"/>
        </w:rPr>
      </w:pPr>
      <w:r>
        <w:rPr>
          <w:rFonts w:eastAsia="Calibri" w:cs="Arial"/>
          <w:sz w:val="22"/>
        </w:rPr>
        <w:t>The Tribunal has considered</w:t>
      </w:r>
      <w:r w:rsidR="00816804">
        <w:rPr>
          <w:rFonts w:eastAsia="Calibri" w:cs="Arial"/>
          <w:sz w:val="22"/>
        </w:rPr>
        <w:t>:</w:t>
      </w:r>
    </w:p>
    <w:p w14:paraId="1254A663" w14:textId="044615C7" w:rsidR="00816804" w:rsidRPr="00816804" w:rsidRDefault="00F61A3C" w:rsidP="003B503D">
      <w:pPr>
        <w:pStyle w:val="ListParagraph"/>
        <w:numPr>
          <w:ilvl w:val="0"/>
          <w:numId w:val="14"/>
        </w:numPr>
        <w:spacing w:after="160"/>
        <w:jc w:val="both"/>
        <w:rPr>
          <w:rFonts w:ascii="Arial" w:eastAsia="Calibri" w:hAnsi="Arial" w:cs="Arial"/>
        </w:rPr>
      </w:pPr>
      <w:r w:rsidRPr="00816804">
        <w:rPr>
          <w:rFonts w:ascii="Arial" w:eastAsia="Calibri" w:hAnsi="Arial" w:cs="Arial"/>
        </w:rPr>
        <w:lastRenderedPageBreak/>
        <w:t xml:space="preserve">RACQ’s </w:t>
      </w:r>
      <w:r w:rsidRPr="00816804">
        <w:rPr>
          <w:rFonts w:ascii="Arial" w:eastAsia="Calibri" w:hAnsi="Arial" w:cs="Arial"/>
          <w:i/>
          <w:iCs/>
        </w:rPr>
        <w:t xml:space="preserve">Private Vehicle Expenses </w:t>
      </w:r>
      <w:r w:rsidR="00DF3065" w:rsidRPr="00816804">
        <w:rPr>
          <w:rFonts w:ascii="Arial" w:eastAsia="Calibri" w:hAnsi="Arial" w:cs="Arial"/>
          <w:i/>
          <w:iCs/>
        </w:rPr>
        <w:t>2022</w:t>
      </w:r>
      <w:r w:rsidR="00DF3065" w:rsidRPr="00816804">
        <w:rPr>
          <w:rFonts w:ascii="Arial" w:eastAsia="Calibri" w:hAnsi="Arial" w:cs="Arial"/>
        </w:rPr>
        <w:t xml:space="preserve"> </w:t>
      </w:r>
      <w:r w:rsidRPr="00816804">
        <w:rPr>
          <w:rFonts w:ascii="Arial" w:eastAsia="Calibri" w:hAnsi="Arial" w:cs="Arial"/>
        </w:rPr>
        <w:t>Report</w:t>
      </w:r>
      <w:r w:rsidR="009E0C71" w:rsidRPr="00816804">
        <w:rPr>
          <w:rStyle w:val="FootnoteReference"/>
          <w:rFonts w:ascii="Arial" w:eastAsia="Calibri" w:hAnsi="Arial" w:cs="Arial"/>
        </w:rPr>
        <w:footnoteReference w:id="2"/>
      </w:r>
      <w:r w:rsidRPr="00816804">
        <w:rPr>
          <w:rFonts w:ascii="Arial" w:eastAsia="Calibri" w:hAnsi="Arial" w:cs="Arial"/>
        </w:rPr>
        <w:t xml:space="preserve"> and fuel cost reports</w:t>
      </w:r>
      <w:r w:rsidR="009E0C71" w:rsidRPr="00816804">
        <w:rPr>
          <w:rStyle w:val="FootnoteReference"/>
          <w:rFonts w:ascii="Arial" w:eastAsia="Calibri" w:hAnsi="Arial" w:cs="Arial"/>
        </w:rPr>
        <w:footnoteReference w:id="3"/>
      </w:r>
      <w:r w:rsidRPr="00816804">
        <w:rPr>
          <w:rFonts w:ascii="Arial" w:eastAsia="Calibri" w:hAnsi="Arial" w:cs="Arial"/>
        </w:rPr>
        <w:t xml:space="preserve"> on the cost of owning and operating vehicles for private purposes over the last five years</w:t>
      </w:r>
      <w:r w:rsidR="00805909">
        <w:rPr>
          <w:rFonts w:ascii="Arial" w:eastAsia="Calibri" w:hAnsi="Arial" w:cs="Arial"/>
        </w:rPr>
        <w:t>, noting</w:t>
      </w:r>
      <w:r w:rsidR="00124256">
        <w:rPr>
          <w:rFonts w:ascii="Arial" w:eastAsia="Calibri" w:hAnsi="Arial" w:cs="Arial"/>
        </w:rPr>
        <w:t xml:space="preserve"> </w:t>
      </w:r>
      <w:r w:rsidR="003176AB">
        <w:rPr>
          <w:rFonts w:ascii="Arial" w:eastAsia="Calibri" w:hAnsi="Arial" w:cs="Arial"/>
        </w:rPr>
        <w:t>increased costs for</w:t>
      </w:r>
      <w:r w:rsidR="00DF3065" w:rsidRPr="00816804">
        <w:rPr>
          <w:rFonts w:ascii="Arial" w:eastAsia="Calibri" w:hAnsi="Arial" w:cs="Arial"/>
        </w:rPr>
        <w:t xml:space="preserve"> fuel, registration and insurance, tyres and battery, </w:t>
      </w:r>
      <w:r w:rsidR="006C5DB1">
        <w:rPr>
          <w:rFonts w:ascii="Arial" w:eastAsia="Calibri" w:hAnsi="Arial" w:cs="Arial"/>
        </w:rPr>
        <w:t xml:space="preserve">and </w:t>
      </w:r>
      <w:r w:rsidR="00DF3065" w:rsidRPr="00816804">
        <w:rPr>
          <w:rFonts w:ascii="Arial" w:eastAsia="Calibri" w:hAnsi="Arial" w:cs="Arial"/>
        </w:rPr>
        <w:t>service and repairs</w:t>
      </w:r>
      <w:r w:rsidR="00805909">
        <w:rPr>
          <w:rFonts w:ascii="Arial" w:eastAsia="Calibri" w:hAnsi="Arial" w:cs="Arial"/>
        </w:rPr>
        <w:t>;</w:t>
      </w:r>
    </w:p>
    <w:p w14:paraId="714A0A39" w14:textId="2BB823C1" w:rsidR="00816804" w:rsidRPr="00816804" w:rsidRDefault="009E0C71" w:rsidP="003B503D">
      <w:pPr>
        <w:pStyle w:val="ListParagraph"/>
        <w:numPr>
          <w:ilvl w:val="0"/>
          <w:numId w:val="14"/>
        </w:numPr>
        <w:spacing w:after="160"/>
        <w:jc w:val="both"/>
        <w:rPr>
          <w:rFonts w:ascii="Arial" w:eastAsia="Calibri" w:hAnsi="Arial" w:cs="Arial"/>
        </w:rPr>
      </w:pPr>
      <w:r w:rsidRPr="00816804">
        <w:rPr>
          <w:rFonts w:ascii="Arial" w:eastAsia="Calibri" w:hAnsi="Arial" w:cs="Arial"/>
        </w:rPr>
        <w:t>the Australian Bureau of Statistics Consumer Price Index Data for Brisbane from September 2021 to September 2022 showing a 9.2% increase in transport costs</w:t>
      </w:r>
      <w:r w:rsidR="003176AB">
        <w:rPr>
          <w:rFonts w:ascii="Arial" w:eastAsia="Calibri" w:hAnsi="Arial" w:cs="Arial"/>
        </w:rPr>
        <w:t>, and</w:t>
      </w:r>
      <w:r w:rsidR="00816804" w:rsidRPr="00816804">
        <w:rPr>
          <w:rFonts w:ascii="Arial" w:eastAsia="Calibri" w:hAnsi="Arial" w:cs="Arial"/>
        </w:rPr>
        <w:t xml:space="preserve"> </w:t>
      </w:r>
    </w:p>
    <w:p w14:paraId="44B85FCA" w14:textId="098AB852" w:rsidR="00F61A3C" w:rsidRPr="00816804" w:rsidRDefault="00816804" w:rsidP="003B503D">
      <w:pPr>
        <w:pStyle w:val="ListParagraph"/>
        <w:numPr>
          <w:ilvl w:val="0"/>
          <w:numId w:val="14"/>
        </w:numPr>
        <w:spacing w:after="160"/>
        <w:jc w:val="both"/>
        <w:rPr>
          <w:rFonts w:ascii="Arial" w:eastAsia="Calibri" w:hAnsi="Arial" w:cs="Arial"/>
        </w:rPr>
      </w:pPr>
      <w:r w:rsidRPr="00816804">
        <w:rPr>
          <w:rFonts w:ascii="Arial" w:eastAsia="Calibri" w:hAnsi="Arial" w:cs="Arial"/>
        </w:rPr>
        <w:t>a selection of eco</w:t>
      </w:r>
      <w:r w:rsidRPr="006C5DB1">
        <w:rPr>
          <w:rFonts w:ascii="Arial" w:eastAsia="Calibri" w:hAnsi="Arial" w:cs="Arial"/>
        </w:rPr>
        <w:t>nomic indices for 2021</w:t>
      </w:r>
      <w:r w:rsidR="00B13393">
        <w:rPr>
          <w:rFonts w:ascii="Arial" w:eastAsia="Calibri" w:hAnsi="Arial" w:cs="Arial"/>
        </w:rPr>
        <w:t xml:space="preserve"> </w:t>
      </w:r>
      <w:r w:rsidRPr="006C5DB1">
        <w:rPr>
          <w:rFonts w:ascii="Arial" w:eastAsia="Calibri" w:hAnsi="Arial" w:cs="Arial"/>
        </w:rPr>
        <w:t>-</w:t>
      </w:r>
      <w:r w:rsidR="00B13393">
        <w:rPr>
          <w:rFonts w:ascii="Arial" w:eastAsia="Calibri" w:hAnsi="Arial" w:cs="Arial"/>
        </w:rPr>
        <w:t xml:space="preserve"> </w:t>
      </w:r>
      <w:r w:rsidRPr="006C5DB1">
        <w:rPr>
          <w:rFonts w:ascii="Arial" w:eastAsia="Calibri" w:hAnsi="Arial" w:cs="Arial"/>
        </w:rPr>
        <w:t>22</w:t>
      </w:r>
      <w:r w:rsidR="006C5DB1" w:rsidRPr="006C5DB1">
        <w:rPr>
          <w:rFonts w:ascii="Arial" w:eastAsia="Calibri" w:hAnsi="Arial" w:cs="Arial"/>
        </w:rPr>
        <w:t>.</w:t>
      </w:r>
    </w:p>
    <w:p w14:paraId="739B186F" w14:textId="49A24A19" w:rsidR="009E0C71" w:rsidRPr="00F61A3C" w:rsidRDefault="00805909" w:rsidP="009E0C71">
      <w:pPr>
        <w:spacing w:before="200" w:after="200" w:line="276" w:lineRule="auto"/>
        <w:jc w:val="both"/>
        <w:rPr>
          <w:rFonts w:eastAsia="Calibri" w:cs="Arial"/>
          <w:sz w:val="22"/>
        </w:rPr>
      </w:pPr>
      <w:r>
        <w:rPr>
          <w:rFonts w:eastAsia="Calibri" w:cs="Arial"/>
          <w:sz w:val="22"/>
        </w:rPr>
        <w:t>The</w:t>
      </w:r>
      <w:r w:rsidR="009E0C71">
        <w:rPr>
          <w:rFonts w:eastAsia="Calibri" w:cs="Arial"/>
          <w:sz w:val="22"/>
        </w:rPr>
        <w:t xml:space="preserve"> Tribunal</w:t>
      </w:r>
      <w:r w:rsidR="00DF3065">
        <w:rPr>
          <w:rFonts w:eastAsia="Calibri" w:cs="Arial"/>
          <w:sz w:val="22"/>
        </w:rPr>
        <w:t xml:space="preserve"> </w:t>
      </w:r>
      <w:r w:rsidR="00816804">
        <w:rPr>
          <w:rFonts w:eastAsia="Calibri" w:cs="Arial"/>
          <w:sz w:val="22"/>
        </w:rPr>
        <w:t xml:space="preserve">has decided to increase the MVA for all bands by 2.5% </w:t>
      </w:r>
      <w:r w:rsidR="002C239F">
        <w:rPr>
          <w:rFonts w:eastAsia="Calibri" w:cs="Arial"/>
          <w:sz w:val="22"/>
        </w:rPr>
        <w:t xml:space="preserve">with effect </w:t>
      </w:r>
      <w:r w:rsidR="00816804">
        <w:rPr>
          <w:rFonts w:eastAsia="Calibri" w:cs="Arial"/>
          <w:sz w:val="22"/>
        </w:rPr>
        <w:t>from 1 January 2023</w:t>
      </w:r>
      <w:r w:rsidR="006C5DB1">
        <w:rPr>
          <w:rFonts w:eastAsia="Calibri" w:cs="Arial"/>
          <w:sz w:val="22"/>
        </w:rPr>
        <w:t>.</w:t>
      </w:r>
    </w:p>
    <w:p w14:paraId="44233586" w14:textId="30F1D813" w:rsidR="009E0C71" w:rsidRPr="00E4735A" w:rsidRDefault="009E0C71" w:rsidP="009E0C71">
      <w:pPr>
        <w:pStyle w:val="Subtitle"/>
        <w:spacing w:after="160"/>
        <w:rPr>
          <w:rFonts w:ascii="Arial" w:hAnsi="Arial" w:cs="Arial"/>
        </w:rPr>
      </w:pPr>
      <w:r>
        <w:rPr>
          <w:rFonts w:ascii="Arial" w:hAnsi="Arial" w:cs="Arial"/>
        </w:rPr>
        <w:t>General Travel Allocation (GTA)</w:t>
      </w:r>
    </w:p>
    <w:p w14:paraId="096D2E1A" w14:textId="77777777" w:rsidR="009E0C71" w:rsidRPr="00DF3065" w:rsidRDefault="009E0C71" w:rsidP="009E0C71">
      <w:pPr>
        <w:spacing w:after="160"/>
        <w:jc w:val="both"/>
        <w:rPr>
          <w:rFonts w:eastAsia="Calibri" w:cs="Arial"/>
          <w:bCs/>
          <w:sz w:val="22"/>
        </w:rPr>
      </w:pPr>
      <w:r w:rsidRPr="00DF3065">
        <w:rPr>
          <w:rFonts w:eastAsia="Calibri" w:cs="Arial"/>
          <w:bCs/>
          <w:sz w:val="22"/>
        </w:rPr>
        <w:t xml:space="preserve">The GTA is the primary travel entitlement available to all members. It covers a range of travel expenses incurred by members (and in limited cases their spouses/staff) when the member is required to travel to conduct ‘Parliamentary Business’. </w:t>
      </w:r>
    </w:p>
    <w:p w14:paraId="3C8E6267" w14:textId="4C24FED3" w:rsidR="009E0C71" w:rsidRPr="00DF3065" w:rsidRDefault="009E0C71" w:rsidP="009E0C71">
      <w:pPr>
        <w:spacing w:after="160"/>
        <w:jc w:val="both"/>
        <w:rPr>
          <w:rFonts w:eastAsia="Calibri" w:cs="Arial"/>
          <w:bCs/>
          <w:sz w:val="22"/>
        </w:rPr>
      </w:pPr>
      <w:r w:rsidRPr="00DF3065">
        <w:rPr>
          <w:rFonts w:eastAsia="Calibri" w:cs="Arial"/>
          <w:bCs/>
          <w:sz w:val="22"/>
        </w:rPr>
        <w:t xml:space="preserve">Types of expenditure that may be claimed include air travel, ground travel and overnight expenses (Daily Travel Allowance). The GTA is an allocation held by the Parliamentary Service and claimed by members. </w:t>
      </w:r>
    </w:p>
    <w:p w14:paraId="3D61E3C8" w14:textId="5CFEAFC4" w:rsidR="009E0C71" w:rsidRPr="00DF3065" w:rsidRDefault="009E0C71" w:rsidP="009E0C71">
      <w:pPr>
        <w:spacing w:after="160"/>
        <w:jc w:val="both"/>
        <w:rPr>
          <w:rFonts w:eastAsia="Calibri" w:cs="Arial"/>
          <w:bCs/>
          <w:sz w:val="22"/>
        </w:rPr>
      </w:pPr>
      <w:r w:rsidRPr="00DF3065">
        <w:rPr>
          <w:rFonts w:eastAsia="Calibri" w:cs="Arial"/>
          <w:bCs/>
          <w:sz w:val="22"/>
        </w:rPr>
        <w:t>There are four bands of the GTA based on the land area of each electorate. The current band</w:t>
      </w:r>
      <w:r w:rsidR="003176AB">
        <w:rPr>
          <w:rFonts w:eastAsia="Calibri" w:cs="Arial"/>
          <w:bCs/>
          <w:sz w:val="22"/>
        </w:rPr>
        <w:t>s, amounts and ranges</w:t>
      </w:r>
      <w:r w:rsidRPr="00DF3065">
        <w:rPr>
          <w:rFonts w:eastAsia="Calibri" w:cs="Arial"/>
          <w:bCs/>
          <w:sz w:val="22"/>
        </w:rPr>
        <w:t xml:space="preserve"> are listed in Table 3. </w:t>
      </w:r>
    </w:p>
    <w:p w14:paraId="6F6C4BBE" w14:textId="77777777" w:rsidR="009E0C71" w:rsidRPr="00AF3298" w:rsidRDefault="009E0C71" w:rsidP="00DF3065">
      <w:pPr>
        <w:keepNext/>
        <w:keepLines/>
        <w:spacing w:after="0"/>
        <w:jc w:val="both"/>
        <w:rPr>
          <w:rFonts w:eastAsia="Calibri" w:cs="Arial"/>
          <w:b/>
          <w:bCs/>
          <w:sz w:val="18"/>
          <w:szCs w:val="18"/>
        </w:rPr>
      </w:pPr>
      <w:r>
        <w:rPr>
          <w:rFonts w:eastAsia="Calibri" w:cs="Arial"/>
          <w:b/>
          <w:bCs/>
          <w:sz w:val="18"/>
          <w:szCs w:val="18"/>
        </w:rPr>
        <w:t>Table</w:t>
      </w:r>
      <w:r w:rsidRPr="00AF3298">
        <w:rPr>
          <w:rFonts w:eastAsia="Calibri" w:cs="Arial"/>
          <w:b/>
          <w:bCs/>
          <w:sz w:val="18"/>
          <w:szCs w:val="18"/>
        </w:rPr>
        <w:t xml:space="preserve"> </w:t>
      </w:r>
      <w:r>
        <w:rPr>
          <w:rFonts w:eastAsia="Calibri" w:cs="Arial"/>
          <w:b/>
          <w:bCs/>
          <w:sz w:val="18"/>
          <w:szCs w:val="18"/>
        </w:rPr>
        <w:t>3</w:t>
      </w:r>
      <w:r w:rsidRPr="00AF3298">
        <w:rPr>
          <w:rFonts w:eastAsia="Calibri" w:cs="Arial"/>
          <w:b/>
          <w:bCs/>
          <w:sz w:val="18"/>
          <w:szCs w:val="18"/>
        </w:rPr>
        <w:t>: General Travel Allocation Bands</w:t>
      </w:r>
    </w:p>
    <w:tbl>
      <w:tblPr>
        <w:tblStyle w:val="TableGrid"/>
        <w:tblW w:w="0" w:type="auto"/>
        <w:tblInd w:w="0" w:type="dxa"/>
        <w:tblLook w:val="04A0" w:firstRow="1" w:lastRow="0" w:firstColumn="1" w:lastColumn="0" w:noHBand="0" w:noVBand="1"/>
      </w:tblPr>
      <w:tblGrid>
        <w:gridCol w:w="2255"/>
        <w:gridCol w:w="2349"/>
        <w:gridCol w:w="4322"/>
      </w:tblGrid>
      <w:tr w:rsidR="009E0C71" w:rsidRPr="009848D4" w14:paraId="39E32646" w14:textId="77777777" w:rsidTr="009E0C71">
        <w:tc>
          <w:tcPr>
            <w:tcW w:w="225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8A29AEE" w14:textId="77777777" w:rsidR="009E0C71" w:rsidRPr="00DF3065" w:rsidRDefault="009E0C71" w:rsidP="002C239F">
            <w:pPr>
              <w:keepNext/>
              <w:keepLines/>
              <w:spacing w:after="160"/>
              <w:rPr>
                <w:rFonts w:eastAsia="Calibri" w:cs="Arial"/>
                <w:b/>
                <w:sz w:val="18"/>
                <w:szCs w:val="18"/>
              </w:rPr>
            </w:pPr>
            <w:r w:rsidRPr="00DF3065">
              <w:rPr>
                <w:rFonts w:eastAsia="Calibri" w:cs="Arial"/>
                <w:b/>
                <w:sz w:val="18"/>
                <w:szCs w:val="18"/>
              </w:rPr>
              <w:t>Band</w:t>
            </w:r>
          </w:p>
        </w:tc>
        <w:tc>
          <w:tcPr>
            <w:tcW w:w="2349"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11E6D50" w14:textId="77777777" w:rsidR="009E0C71" w:rsidRPr="00DF3065" w:rsidRDefault="009E0C71" w:rsidP="002C239F">
            <w:pPr>
              <w:keepNext/>
              <w:keepLines/>
              <w:spacing w:after="160"/>
              <w:rPr>
                <w:rFonts w:eastAsia="Calibri" w:cs="Arial"/>
                <w:b/>
                <w:sz w:val="18"/>
                <w:szCs w:val="18"/>
              </w:rPr>
            </w:pPr>
            <w:r w:rsidRPr="00DF3065">
              <w:rPr>
                <w:rFonts w:eastAsia="Calibri" w:cs="Arial"/>
                <w:b/>
                <w:sz w:val="18"/>
                <w:szCs w:val="18"/>
              </w:rPr>
              <w:t>Amount</w:t>
            </w:r>
          </w:p>
        </w:tc>
        <w:tc>
          <w:tcPr>
            <w:tcW w:w="432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754492B" w14:textId="77777777" w:rsidR="009E0C71" w:rsidRPr="00DF3065" w:rsidRDefault="009E0C71" w:rsidP="002C239F">
            <w:pPr>
              <w:keepNext/>
              <w:keepLines/>
              <w:spacing w:after="160"/>
              <w:rPr>
                <w:rFonts w:eastAsia="Calibri" w:cs="Arial"/>
                <w:b/>
                <w:sz w:val="18"/>
                <w:szCs w:val="18"/>
              </w:rPr>
            </w:pPr>
            <w:r w:rsidRPr="00DF3065">
              <w:rPr>
                <w:rFonts w:eastAsia="Calibri" w:cs="Arial"/>
                <w:b/>
                <w:sz w:val="18"/>
                <w:szCs w:val="18"/>
              </w:rPr>
              <w:t>Range km2</w:t>
            </w:r>
          </w:p>
        </w:tc>
      </w:tr>
      <w:tr w:rsidR="009E0C71" w:rsidRPr="009848D4" w14:paraId="443E1D91" w14:textId="77777777" w:rsidTr="009E0C71">
        <w:tc>
          <w:tcPr>
            <w:tcW w:w="225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A402664" w14:textId="1E8D9C4D" w:rsidR="009E0C71" w:rsidRPr="00DF3065" w:rsidRDefault="009E0C71" w:rsidP="002C239F">
            <w:pPr>
              <w:keepNext/>
              <w:keepLines/>
              <w:spacing w:after="160"/>
              <w:rPr>
                <w:rFonts w:eastAsia="Calibri" w:cs="Arial"/>
                <w:b/>
                <w:sz w:val="18"/>
                <w:szCs w:val="18"/>
              </w:rPr>
            </w:pPr>
            <w:r w:rsidRPr="00DF3065">
              <w:rPr>
                <w:rFonts w:eastAsia="Calibri" w:cs="Arial"/>
                <w:b/>
                <w:sz w:val="18"/>
                <w:szCs w:val="18"/>
              </w:rPr>
              <w:t>1</w:t>
            </w:r>
          </w:p>
        </w:tc>
        <w:tc>
          <w:tcPr>
            <w:tcW w:w="2349" w:type="dxa"/>
            <w:tcBorders>
              <w:top w:val="single" w:sz="4" w:space="0" w:color="auto"/>
              <w:left w:val="single" w:sz="4" w:space="0" w:color="auto"/>
              <w:bottom w:val="single" w:sz="4" w:space="0" w:color="auto"/>
              <w:right w:val="single" w:sz="4" w:space="0" w:color="auto"/>
            </w:tcBorders>
            <w:hideMark/>
          </w:tcPr>
          <w:p w14:paraId="6A0DB7CC" w14:textId="77777777" w:rsidR="009E0C71" w:rsidRPr="00DF3065" w:rsidRDefault="009E0C71" w:rsidP="002C239F">
            <w:pPr>
              <w:keepNext/>
              <w:keepLines/>
              <w:spacing w:after="160"/>
              <w:rPr>
                <w:rFonts w:eastAsia="Calibri" w:cs="Arial"/>
                <w:bCs/>
                <w:sz w:val="18"/>
                <w:szCs w:val="18"/>
              </w:rPr>
            </w:pPr>
            <w:r w:rsidRPr="00DF3065">
              <w:rPr>
                <w:rFonts w:eastAsia="Calibri" w:cs="Arial"/>
                <w:bCs/>
                <w:sz w:val="18"/>
                <w:szCs w:val="18"/>
              </w:rPr>
              <w:t>$18,360</w:t>
            </w:r>
          </w:p>
        </w:tc>
        <w:tc>
          <w:tcPr>
            <w:tcW w:w="4322" w:type="dxa"/>
            <w:tcBorders>
              <w:top w:val="single" w:sz="4" w:space="0" w:color="auto"/>
              <w:left w:val="single" w:sz="4" w:space="0" w:color="auto"/>
              <w:bottom w:val="single" w:sz="4" w:space="0" w:color="auto"/>
              <w:right w:val="single" w:sz="4" w:space="0" w:color="auto"/>
            </w:tcBorders>
            <w:hideMark/>
          </w:tcPr>
          <w:p w14:paraId="2B50F569" w14:textId="77777777" w:rsidR="009E0C71" w:rsidRPr="00DF3065" w:rsidRDefault="009E0C71" w:rsidP="002C239F">
            <w:pPr>
              <w:keepNext/>
              <w:keepLines/>
              <w:spacing w:after="160"/>
              <w:rPr>
                <w:rFonts w:eastAsia="Calibri" w:cs="Arial"/>
                <w:bCs/>
                <w:sz w:val="18"/>
                <w:szCs w:val="18"/>
              </w:rPr>
            </w:pPr>
            <w:r w:rsidRPr="00DF3065">
              <w:rPr>
                <w:rFonts w:eastAsia="Calibri" w:cs="Arial"/>
                <w:bCs/>
                <w:sz w:val="18"/>
                <w:szCs w:val="18"/>
              </w:rPr>
              <w:t>0 – 4,499</w:t>
            </w:r>
          </w:p>
        </w:tc>
      </w:tr>
      <w:tr w:rsidR="009E0C71" w:rsidRPr="009848D4" w14:paraId="5A297A7F" w14:textId="77777777" w:rsidTr="009E0C71">
        <w:tc>
          <w:tcPr>
            <w:tcW w:w="225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E010D7C" w14:textId="39B1FD3B" w:rsidR="009E0C71" w:rsidRPr="00DF3065" w:rsidRDefault="009E0C71" w:rsidP="002C239F">
            <w:pPr>
              <w:keepNext/>
              <w:keepLines/>
              <w:spacing w:after="160"/>
              <w:rPr>
                <w:rFonts w:eastAsia="Calibri" w:cs="Arial"/>
                <w:b/>
                <w:sz w:val="18"/>
                <w:szCs w:val="18"/>
              </w:rPr>
            </w:pPr>
            <w:r w:rsidRPr="00DF3065">
              <w:rPr>
                <w:rFonts w:eastAsia="Calibri" w:cs="Arial"/>
                <w:b/>
                <w:sz w:val="18"/>
                <w:szCs w:val="18"/>
              </w:rPr>
              <w:t>2</w:t>
            </w:r>
          </w:p>
        </w:tc>
        <w:tc>
          <w:tcPr>
            <w:tcW w:w="2349" w:type="dxa"/>
            <w:tcBorders>
              <w:top w:val="single" w:sz="4" w:space="0" w:color="auto"/>
              <w:left w:val="single" w:sz="4" w:space="0" w:color="auto"/>
              <w:bottom w:val="single" w:sz="4" w:space="0" w:color="auto"/>
              <w:right w:val="single" w:sz="4" w:space="0" w:color="auto"/>
            </w:tcBorders>
            <w:hideMark/>
          </w:tcPr>
          <w:p w14:paraId="296EFE4D" w14:textId="77777777" w:rsidR="009E0C71" w:rsidRPr="00DF3065" w:rsidRDefault="009E0C71" w:rsidP="002C239F">
            <w:pPr>
              <w:keepNext/>
              <w:keepLines/>
              <w:spacing w:after="160"/>
              <w:rPr>
                <w:rFonts w:eastAsia="Calibri" w:cs="Arial"/>
                <w:bCs/>
                <w:sz w:val="18"/>
                <w:szCs w:val="18"/>
              </w:rPr>
            </w:pPr>
            <w:r w:rsidRPr="00DF3065">
              <w:rPr>
                <w:rFonts w:eastAsia="Calibri" w:cs="Arial"/>
                <w:bCs/>
                <w:sz w:val="18"/>
                <w:szCs w:val="18"/>
              </w:rPr>
              <w:t>$30,040</w:t>
            </w:r>
          </w:p>
        </w:tc>
        <w:tc>
          <w:tcPr>
            <w:tcW w:w="4322" w:type="dxa"/>
            <w:tcBorders>
              <w:top w:val="single" w:sz="4" w:space="0" w:color="auto"/>
              <w:left w:val="single" w:sz="4" w:space="0" w:color="auto"/>
              <w:bottom w:val="single" w:sz="4" w:space="0" w:color="auto"/>
              <w:right w:val="single" w:sz="4" w:space="0" w:color="auto"/>
            </w:tcBorders>
            <w:hideMark/>
          </w:tcPr>
          <w:p w14:paraId="221EA8EA" w14:textId="77777777" w:rsidR="009E0C71" w:rsidRPr="00DF3065" w:rsidRDefault="009E0C71" w:rsidP="002C239F">
            <w:pPr>
              <w:keepNext/>
              <w:keepLines/>
              <w:spacing w:after="160"/>
              <w:rPr>
                <w:rFonts w:eastAsia="Calibri" w:cs="Arial"/>
                <w:bCs/>
                <w:sz w:val="18"/>
                <w:szCs w:val="18"/>
              </w:rPr>
            </w:pPr>
            <w:r w:rsidRPr="00DF3065">
              <w:rPr>
                <w:rFonts w:eastAsia="Calibri" w:cs="Arial"/>
                <w:bCs/>
                <w:sz w:val="18"/>
                <w:szCs w:val="18"/>
              </w:rPr>
              <w:t>4,500 - 49,999</w:t>
            </w:r>
          </w:p>
        </w:tc>
      </w:tr>
      <w:tr w:rsidR="009E0C71" w:rsidRPr="009848D4" w14:paraId="501F3064" w14:textId="77777777" w:rsidTr="009E0C71">
        <w:tc>
          <w:tcPr>
            <w:tcW w:w="225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4D4A3C" w14:textId="7C4C904E" w:rsidR="009E0C71" w:rsidRPr="00DF3065" w:rsidRDefault="009E0C71" w:rsidP="002C239F">
            <w:pPr>
              <w:keepNext/>
              <w:keepLines/>
              <w:spacing w:after="160"/>
              <w:rPr>
                <w:rFonts w:eastAsia="Calibri" w:cs="Arial"/>
                <w:b/>
                <w:sz w:val="18"/>
                <w:szCs w:val="18"/>
              </w:rPr>
            </w:pPr>
            <w:r w:rsidRPr="00DF3065">
              <w:rPr>
                <w:rFonts w:eastAsia="Calibri" w:cs="Arial"/>
                <w:b/>
                <w:sz w:val="18"/>
                <w:szCs w:val="18"/>
              </w:rPr>
              <w:t>3</w:t>
            </w:r>
          </w:p>
        </w:tc>
        <w:tc>
          <w:tcPr>
            <w:tcW w:w="2349" w:type="dxa"/>
            <w:tcBorders>
              <w:top w:val="single" w:sz="4" w:space="0" w:color="auto"/>
              <w:left w:val="single" w:sz="4" w:space="0" w:color="auto"/>
              <w:bottom w:val="single" w:sz="4" w:space="0" w:color="auto"/>
              <w:right w:val="single" w:sz="4" w:space="0" w:color="auto"/>
            </w:tcBorders>
            <w:hideMark/>
          </w:tcPr>
          <w:p w14:paraId="24258916" w14:textId="77777777" w:rsidR="009E0C71" w:rsidRPr="00DF3065" w:rsidRDefault="009E0C71" w:rsidP="002C239F">
            <w:pPr>
              <w:keepNext/>
              <w:keepLines/>
              <w:spacing w:after="160"/>
              <w:rPr>
                <w:rFonts w:eastAsia="Calibri" w:cs="Arial"/>
                <w:bCs/>
                <w:sz w:val="18"/>
                <w:szCs w:val="18"/>
              </w:rPr>
            </w:pPr>
            <w:r w:rsidRPr="00DF3065">
              <w:rPr>
                <w:rFonts w:eastAsia="Calibri" w:cs="Arial"/>
                <w:bCs/>
                <w:sz w:val="18"/>
                <w:szCs w:val="18"/>
              </w:rPr>
              <w:t>$40,000</w:t>
            </w:r>
          </w:p>
        </w:tc>
        <w:tc>
          <w:tcPr>
            <w:tcW w:w="4322" w:type="dxa"/>
            <w:tcBorders>
              <w:top w:val="single" w:sz="4" w:space="0" w:color="auto"/>
              <w:left w:val="single" w:sz="4" w:space="0" w:color="auto"/>
              <w:bottom w:val="single" w:sz="4" w:space="0" w:color="auto"/>
              <w:right w:val="single" w:sz="4" w:space="0" w:color="auto"/>
            </w:tcBorders>
            <w:hideMark/>
          </w:tcPr>
          <w:p w14:paraId="4F08C7B0" w14:textId="77777777" w:rsidR="009E0C71" w:rsidRPr="00DF3065" w:rsidRDefault="009E0C71" w:rsidP="002C239F">
            <w:pPr>
              <w:keepNext/>
              <w:keepLines/>
              <w:spacing w:after="160"/>
              <w:rPr>
                <w:rFonts w:eastAsia="Calibri" w:cs="Arial"/>
                <w:bCs/>
                <w:sz w:val="18"/>
                <w:szCs w:val="18"/>
              </w:rPr>
            </w:pPr>
            <w:r w:rsidRPr="00DF3065">
              <w:rPr>
                <w:rFonts w:eastAsia="Calibri" w:cs="Arial"/>
                <w:bCs/>
                <w:sz w:val="18"/>
                <w:szCs w:val="18"/>
              </w:rPr>
              <w:t>50,000 – 99,999</w:t>
            </w:r>
          </w:p>
        </w:tc>
      </w:tr>
      <w:tr w:rsidR="009E0C71" w:rsidRPr="009848D4" w14:paraId="19EB5EF2" w14:textId="77777777" w:rsidTr="009E0C71">
        <w:tc>
          <w:tcPr>
            <w:tcW w:w="225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7904AA9" w14:textId="2048F24E" w:rsidR="009E0C71" w:rsidRPr="00DF3065" w:rsidRDefault="009E0C71" w:rsidP="002C239F">
            <w:pPr>
              <w:keepNext/>
              <w:keepLines/>
              <w:spacing w:after="160"/>
              <w:rPr>
                <w:rFonts w:eastAsia="Calibri" w:cs="Arial"/>
                <w:b/>
                <w:sz w:val="18"/>
                <w:szCs w:val="18"/>
              </w:rPr>
            </w:pPr>
            <w:r w:rsidRPr="00DF3065">
              <w:rPr>
                <w:rFonts w:eastAsia="Calibri" w:cs="Arial"/>
                <w:b/>
                <w:sz w:val="18"/>
                <w:szCs w:val="18"/>
              </w:rPr>
              <w:t>4</w:t>
            </w:r>
          </w:p>
        </w:tc>
        <w:tc>
          <w:tcPr>
            <w:tcW w:w="2349" w:type="dxa"/>
            <w:tcBorders>
              <w:top w:val="single" w:sz="4" w:space="0" w:color="auto"/>
              <w:left w:val="single" w:sz="4" w:space="0" w:color="auto"/>
              <w:bottom w:val="single" w:sz="4" w:space="0" w:color="auto"/>
              <w:right w:val="single" w:sz="4" w:space="0" w:color="auto"/>
            </w:tcBorders>
            <w:hideMark/>
          </w:tcPr>
          <w:p w14:paraId="558D2988" w14:textId="77777777" w:rsidR="009E0C71" w:rsidRPr="00DF3065" w:rsidRDefault="009E0C71" w:rsidP="002C239F">
            <w:pPr>
              <w:keepNext/>
              <w:keepLines/>
              <w:spacing w:after="160"/>
              <w:rPr>
                <w:rFonts w:eastAsia="Calibri" w:cs="Arial"/>
                <w:bCs/>
                <w:sz w:val="18"/>
                <w:szCs w:val="18"/>
              </w:rPr>
            </w:pPr>
            <w:r w:rsidRPr="00DF3065">
              <w:rPr>
                <w:rFonts w:eastAsia="Calibri" w:cs="Arial"/>
                <w:bCs/>
                <w:sz w:val="18"/>
                <w:szCs w:val="18"/>
              </w:rPr>
              <w:t>$79,700</w:t>
            </w:r>
          </w:p>
        </w:tc>
        <w:tc>
          <w:tcPr>
            <w:tcW w:w="4322" w:type="dxa"/>
            <w:tcBorders>
              <w:top w:val="single" w:sz="4" w:space="0" w:color="auto"/>
              <w:left w:val="single" w:sz="4" w:space="0" w:color="auto"/>
              <w:bottom w:val="single" w:sz="4" w:space="0" w:color="auto"/>
              <w:right w:val="single" w:sz="4" w:space="0" w:color="auto"/>
            </w:tcBorders>
            <w:hideMark/>
          </w:tcPr>
          <w:p w14:paraId="237F3514" w14:textId="77777777" w:rsidR="009E0C71" w:rsidRPr="00DF3065" w:rsidRDefault="009E0C71" w:rsidP="002C239F">
            <w:pPr>
              <w:keepNext/>
              <w:keepLines/>
              <w:spacing w:after="160"/>
              <w:rPr>
                <w:rFonts w:eastAsia="Calibri" w:cs="Arial"/>
                <w:bCs/>
                <w:sz w:val="18"/>
                <w:szCs w:val="18"/>
              </w:rPr>
            </w:pPr>
            <w:r w:rsidRPr="00DF3065">
              <w:rPr>
                <w:rFonts w:eastAsia="Calibri" w:cs="Arial"/>
                <w:bCs/>
                <w:sz w:val="18"/>
                <w:szCs w:val="18"/>
              </w:rPr>
              <w:t>100,000 and over</w:t>
            </w:r>
          </w:p>
        </w:tc>
      </w:tr>
    </w:tbl>
    <w:p w14:paraId="3B86888F" w14:textId="77777777" w:rsidR="009E0C71" w:rsidRDefault="009E0C71" w:rsidP="009E0C71">
      <w:pPr>
        <w:spacing w:after="160"/>
        <w:jc w:val="both"/>
        <w:rPr>
          <w:rFonts w:eastAsia="Calibri" w:cs="Arial"/>
          <w:bCs/>
        </w:rPr>
      </w:pPr>
    </w:p>
    <w:p w14:paraId="748DC1B9" w14:textId="573BAE5C" w:rsidR="009E0C71" w:rsidRPr="005A4E95" w:rsidRDefault="00BC40F1" w:rsidP="009E0C71">
      <w:pPr>
        <w:spacing w:after="160"/>
        <w:jc w:val="both"/>
        <w:rPr>
          <w:rFonts w:eastAsia="Calibri" w:cs="Arial"/>
          <w:bCs/>
          <w:sz w:val="22"/>
        </w:rPr>
      </w:pPr>
      <w:r>
        <w:rPr>
          <w:sz w:val="22"/>
        </w:rPr>
        <w:t>O</w:t>
      </w:r>
      <w:r w:rsidRPr="005A4E95">
        <w:rPr>
          <w:sz w:val="22"/>
        </w:rPr>
        <w:t>n 16 September 2022</w:t>
      </w:r>
      <w:r>
        <w:rPr>
          <w:sz w:val="22"/>
        </w:rPr>
        <w:t xml:space="preserve">, </w:t>
      </w:r>
      <w:r>
        <w:rPr>
          <w:rFonts w:cs="Arial"/>
          <w:sz w:val="22"/>
        </w:rPr>
        <w:t>t</w:t>
      </w:r>
      <w:r w:rsidR="009E0C71" w:rsidRPr="005A4E95">
        <w:rPr>
          <w:rFonts w:cs="Arial"/>
          <w:sz w:val="22"/>
        </w:rPr>
        <w:t xml:space="preserve">he Clerk tabled the </w:t>
      </w:r>
      <w:r w:rsidR="009E0C71" w:rsidRPr="00E75091">
        <w:rPr>
          <w:rFonts w:eastAsia="Calibri" w:cs="Arial"/>
          <w:i/>
          <w:iCs/>
          <w:sz w:val="22"/>
        </w:rPr>
        <w:t>Annual Report of General Travel Allocation Expenditure by Members of the Legislative Assembly for the Period 1 July 2021 to 30 June 2022</w:t>
      </w:r>
      <w:r w:rsidR="009E0C71" w:rsidRPr="005A4E95">
        <w:rPr>
          <w:sz w:val="22"/>
        </w:rPr>
        <w:t xml:space="preserve">. </w:t>
      </w:r>
    </w:p>
    <w:p w14:paraId="620E9BF5" w14:textId="1EC93837" w:rsidR="009E0C71" w:rsidRPr="00E4735A" w:rsidRDefault="009E0C71" w:rsidP="009E0C71">
      <w:pPr>
        <w:spacing w:after="160"/>
        <w:jc w:val="both"/>
        <w:rPr>
          <w:rFonts w:cs="Arial"/>
          <w:sz w:val="22"/>
        </w:rPr>
      </w:pPr>
      <w:r w:rsidRPr="00E4735A">
        <w:rPr>
          <w:rFonts w:cs="Arial"/>
          <w:sz w:val="22"/>
        </w:rPr>
        <w:t>The Tribunal reviewed members</w:t>
      </w:r>
      <w:r>
        <w:rPr>
          <w:rFonts w:cs="Arial"/>
          <w:sz w:val="22"/>
        </w:rPr>
        <w:t>’</w:t>
      </w:r>
      <w:r w:rsidRPr="00E4735A">
        <w:rPr>
          <w:rFonts w:cs="Arial"/>
          <w:sz w:val="22"/>
        </w:rPr>
        <w:t xml:space="preserve"> </w:t>
      </w:r>
      <w:r>
        <w:rPr>
          <w:rFonts w:cs="Arial"/>
          <w:sz w:val="22"/>
        </w:rPr>
        <w:t>claims from the GTA</w:t>
      </w:r>
      <w:r w:rsidRPr="00E4735A">
        <w:rPr>
          <w:rFonts w:cs="Arial"/>
          <w:sz w:val="22"/>
        </w:rPr>
        <w:t xml:space="preserve"> for 2021</w:t>
      </w:r>
      <w:r w:rsidR="00BC40F1">
        <w:rPr>
          <w:rFonts w:cs="Arial"/>
          <w:sz w:val="22"/>
        </w:rPr>
        <w:t xml:space="preserve"> </w:t>
      </w:r>
      <w:r w:rsidRPr="00E4735A">
        <w:rPr>
          <w:rFonts w:cs="Arial"/>
          <w:sz w:val="22"/>
        </w:rPr>
        <w:t>-</w:t>
      </w:r>
      <w:r w:rsidR="00BC40F1">
        <w:rPr>
          <w:rFonts w:cs="Arial"/>
          <w:sz w:val="22"/>
        </w:rPr>
        <w:t xml:space="preserve"> </w:t>
      </w:r>
      <w:r w:rsidRPr="00E4735A">
        <w:rPr>
          <w:rFonts w:cs="Arial"/>
          <w:sz w:val="22"/>
        </w:rPr>
        <w:t xml:space="preserve">22 and </w:t>
      </w:r>
      <w:r w:rsidR="00BC40F1" w:rsidRPr="00E4735A">
        <w:rPr>
          <w:rFonts w:cs="Arial"/>
          <w:sz w:val="22"/>
        </w:rPr>
        <w:t>ma</w:t>
      </w:r>
      <w:r w:rsidR="00BC40F1">
        <w:rPr>
          <w:rFonts w:cs="Arial"/>
          <w:sz w:val="22"/>
        </w:rPr>
        <w:t>de</w:t>
      </w:r>
      <w:r w:rsidR="00BC40F1" w:rsidRPr="00E4735A">
        <w:rPr>
          <w:rFonts w:cs="Arial"/>
          <w:sz w:val="22"/>
        </w:rPr>
        <w:t xml:space="preserve"> </w:t>
      </w:r>
      <w:r w:rsidRPr="00E4735A">
        <w:rPr>
          <w:rFonts w:cs="Arial"/>
          <w:sz w:val="22"/>
        </w:rPr>
        <w:t xml:space="preserve">the following observations: </w:t>
      </w:r>
    </w:p>
    <w:p w14:paraId="18605138" w14:textId="14F642A6" w:rsidR="00721E25" w:rsidRPr="009E0C71" w:rsidRDefault="00721E25" w:rsidP="00721E25">
      <w:pPr>
        <w:pStyle w:val="ListParagraph"/>
        <w:numPr>
          <w:ilvl w:val="0"/>
          <w:numId w:val="14"/>
        </w:numPr>
        <w:spacing w:after="160"/>
        <w:jc w:val="both"/>
        <w:rPr>
          <w:rFonts w:ascii="Arial" w:hAnsi="Arial" w:cs="Arial"/>
        </w:rPr>
      </w:pPr>
      <w:r>
        <w:rPr>
          <w:rFonts w:ascii="Arial" w:eastAsia="Calibri" w:hAnsi="Arial" w:cs="Arial"/>
        </w:rPr>
        <w:t>airfares and the Daily Travel Allowance (DTA) continue to be the primary categories of GTA claimed by members</w:t>
      </w:r>
      <w:r w:rsidR="00805909">
        <w:rPr>
          <w:rFonts w:ascii="Arial" w:eastAsia="Calibri" w:hAnsi="Arial" w:cs="Arial"/>
        </w:rPr>
        <w:t>;</w:t>
      </w:r>
    </w:p>
    <w:p w14:paraId="34BAFF4D" w14:textId="5733AE17" w:rsidR="009E0C71" w:rsidRPr="009E0C71" w:rsidRDefault="00721E25" w:rsidP="009E0C71">
      <w:pPr>
        <w:pStyle w:val="ListParagraph"/>
        <w:numPr>
          <w:ilvl w:val="0"/>
          <w:numId w:val="14"/>
        </w:numPr>
        <w:spacing w:after="160"/>
        <w:jc w:val="both"/>
        <w:rPr>
          <w:rFonts w:ascii="Arial" w:hAnsi="Arial" w:cs="Arial"/>
        </w:rPr>
      </w:pPr>
      <w:r>
        <w:rPr>
          <w:rFonts w:ascii="Arial" w:eastAsia="Calibri" w:hAnsi="Arial" w:cs="Arial"/>
        </w:rPr>
        <w:t xml:space="preserve">the total quantum of </w:t>
      </w:r>
      <w:r w:rsidR="009E0C71">
        <w:rPr>
          <w:rFonts w:ascii="Arial" w:eastAsia="Calibri" w:hAnsi="Arial" w:cs="Arial"/>
        </w:rPr>
        <w:t xml:space="preserve">GTA claims </w:t>
      </w:r>
      <w:r>
        <w:rPr>
          <w:rFonts w:ascii="Arial" w:eastAsia="Calibri" w:hAnsi="Arial" w:cs="Arial"/>
        </w:rPr>
        <w:t xml:space="preserve">for all members </w:t>
      </w:r>
      <w:r w:rsidR="009E0C71">
        <w:rPr>
          <w:rFonts w:ascii="Arial" w:eastAsia="Calibri" w:hAnsi="Arial" w:cs="Arial"/>
        </w:rPr>
        <w:t>prior to the COVID-19 pandemic</w:t>
      </w:r>
      <w:r>
        <w:rPr>
          <w:rFonts w:ascii="Arial" w:eastAsia="Calibri" w:hAnsi="Arial" w:cs="Arial"/>
        </w:rPr>
        <w:t xml:space="preserve"> (2018-19)</w:t>
      </w:r>
      <w:r w:rsidR="009E0C71">
        <w:rPr>
          <w:rFonts w:ascii="Arial" w:eastAsia="Calibri" w:hAnsi="Arial" w:cs="Arial"/>
        </w:rPr>
        <w:t xml:space="preserve"> are significantly higher than in the following financial </w:t>
      </w:r>
      <w:proofErr w:type="gramStart"/>
      <w:r w:rsidR="009E0C71">
        <w:rPr>
          <w:rFonts w:ascii="Arial" w:eastAsia="Calibri" w:hAnsi="Arial" w:cs="Arial"/>
        </w:rPr>
        <w:t>years</w:t>
      </w:r>
      <w:r w:rsidR="00805909">
        <w:rPr>
          <w:rFonts w:ascii="Arial" w:eastAsia="Calibri" w:hAnsi="Arial" w:cs="Arial"/>
        </w:rPr>
        <w:t>;</w:t>
      </w:r>
      <w:proofErr w:type="gramEnd"/>
      <w:r w:rsidR="006C5DB1">
        <w:rPr>
          <w:rFonts w:ascii="Arial" w:eastAsia="Calibri" w:hAnsi="Arial" w:cs="Arial"/>
        </w:rPr>
        <w:t xml:space="preserve"> </w:t>
      </w:r>
    </w:p>
    <w:p w14:paraId="2071C669" w14:textId="3A610B51" w:rsidR="00721E25" w:rsidRPr="00721E25" w:rsidRDefault="00721E25" w:rsidP="009E0C71">
      <w:pPr>
        <w:pStyle w:val="ListParagraph"/>
        <w:numPr>
          <w:ilvl w:val="0"/>
          <w:numId w:val="14"/>
        </w:numPr>
        <w:spacing w:after="160"/>
        <w:jc w:val="both"/>
        <w:rPr>
          <w:rFonts w:ascii="Arial" w:hAnsi="Arial" w:cs="Arial"/>
        </w:rPr>
      </w:pPr>
      <w:r>
        <w:rPr>
          <w:rFonts w:ascii="Arial" w:eastAsia="Calibri" w:hAnsi="Arial" w:cs="Arial"/>
        </w:rPr>
        <w:t>t</w:t>
      </w:r>
      <w:r w:rsidR="003176AB">
        <w:rPr>
          <w:rFonts w:ascii="Arial" w:eastAsia="Calibri" w:hAnsi="Arial" w:cs="Arial"/>
        </w:rPr>
        <w:t xml:space="preserve">otal </w:t>
      </w:r>
      <w:r w:rsidR="009E0C71">
        <w:rPr>
          <w:rFonts w:ascii="Arial" w:eastAsia="Calibri" w:hAnsi="Arial" w:cs="Arial"/>
        </w:rPr>
        <w:t xml:space="preserve">GTA claims by members </w:t>
      </w:r>
      <w:r w:rsidR="003176AB">
        <w:rPr>
          <w:rFonts w:ascii="Arial" w:eastAsia="Calibri" w:hAnsi="Arial" w:cs="Arial"/>
        </w:rPr>
        <w:t>in 2021</w:t>
      </w:r>
      <w:r w:rsidR="00BC40F1">
        <w:rPr>
          <w:rFonts w:ascii="Arial" w:eastAsia="Calibri" w:hAnsi="Arial" w:cs="Arial"/>
        </w:rPr>
        <w:t xml:space="preserve"> </w:t>
      </w:r>
      <w:r w:rsidR="003176AB">
        <w:rPr>
          <w:rFonts w:ascii="Arial" w:eastAsia="Calibri" w:hAnsi="Arial" w:cs="Arial"/>
        </w:rPr>
        <w:t>-</w:t>
      </w:r>
      <w:r w:rsidR="00BC40F1">
        <w:rPr>
          <w:rFonts w:ascii="Arial" w:eastAsia="Calibri" w:hAnsi="Arial" w:cs="Arial"/>
        </w:rPr>
        <w:t xml:space="preserve"> </w:t>
      </w:r>
      <w:r w:rsidR="003176AB">
        <w:rPr>
          <w:rFonts w:ascii="Arial" w:eastAsia="Calibri" w:hAnsi="Arial" w:cs="Arial"/>
        </w:rPr>
        <w:t xml:space="preserve">22 </w:t>
      </w:r>
      <w:r w:rsidR="009E0C71">
        <w:rPr>
          <w:rFonts w:ascii="Arial" w:eastAsia="Calibri" w:hAnsi="Arial" w:cs="Arial"/>
        </w:rPr>
        <w:t>have remained consistent since 201</w:t>
      </w:r>
      <w:r>
        <w:rPr>
          <w:rFonts w:ascii="Arial" w:eastAsia="Calibri" w:hAnsi="Arial" w:cs="Arial"/>
        </w:rPr>
        <w:t>8</w:t>
      </w:r>
      <w:r w:rsidR="00BC40F1">
        <w:rPr>
          <w:rFonts w:ascii="Arial" w:eastAsia="Calibri" w:hAnsi="Arial" w:cs="Arial"/>
        </w:rPr>
        <w:t xml:space="preserve"> </w:t>
      </w:r>
      <w:r w:rsidR="009E0C71">
        <w:rPr>
          <w:rFonts w:ascii="Arial" w:eastAsia="Calibri" w:hAnsi="Arial" w:cs="Arial"/>
        </w:rPr>
        <w:t>-</w:t>
      </w:r>
      <w:r w:rsidR="00BC40F1">
        <w:rPr>
          <w:rFonts w:ascii="Arial" w:eastAsia="Calibri" w:hAnsi="Arial" w:cs="Arial"/>
        </w:rPr>
        <w:t xml:space="preserve"> </w:t>
      </w:r>
      <w:r>
        <w:rPr>
          <w:rFonts w:ascii="Arial" w:eastAsia="Calibri" w:hAnsi="Arial" w:cs="Arial"/>
        </w:rPr>
        <w:t>19 with the majority of members claiming less than 40% of their GTA</w:t>
      </w:r>
      <w:r w:rsidR="00805909">
        <w:rPr>
          <w:rFonts w:ascii="Arial" w:eastAsia="Calibri" w:hAnsi="Arial" w:cs="Arial"/>
        </w:rPr>
        <w:t>;</w:t>
      </w:r>
    </w:p>
    <w:p w14:paraId="6E6A7FDC" w14:textId="72018BC7" w:rsidR="009E0C71" w:rsidRPr="00F40C43" w:rsidRDefault="00721E25" w:rsidP="009E0C71">
      <w:pPr>
        <w:pStyle w:val="ListParagraph"/>
        <w:numPr>
          <w:ilvl w:val="0"/>
          <w:numId w:val="14"/>
        </w:numPr>
        <w:spacing w:after="160"/>
        <w:jc w:val="both"/>
        <w:rPr>
          <w:rFonts w:ascii="Arial" w:hAnsi="Arial" w:cs="Arial"/>
        </w:rPr>
      </w:pPr>
      <w:r>
        <w:rPr>
          <w:rFonts w:ascii="Arial" w:eastAsia="Calibri" w:hAnsi="Arial" w:cs="Arial"/>
        </w:rPr>
        <w:t>in 2021</w:t>
      </w:r>
      <w:r w:rsidR="00BC40F1">
        <w:rPr>
          <w:rFonts w:ascii="Arial" w:eastAsia="Calibri" w:hAnsi="Arial" w:cs="Arial"/>
        </w:rPr>
        <w:t xml:space="preserve"> </w:t>
      </w:r>
      <w:r>
        <w:rPr>
          <w:rFonts w:ascii="Arial" w:eastAsia="Calibri" w:hAnsi="Arial" w:cs="Arial"/>
        </w:rPr>
        <w:t>-</w:t>
      </w:r>
      <w:r w:rsidR="00BC40F1">
        <w:rPr>
          <w:rFonts w:ascii="Arial" w:eastAsia="Calibri" w:hAnsi="Arial" w:cs="Arial"/>
        </w:rPr>
        <w:t xml:space="preserve"> </w:t>
      </w:r>
      <w:r>
        <w:rPr>
          <w:rFonts w:ascii="Arial" w:eastAsia="Calibri" w:hAnsi="Arial" w:cs="Arial"/>
        </w:rPr>
        <w:t>22, n</w:t>
      </w:r>
      <w:r w:rsidR="009E0C71">
        <w:rPr>
          <w:rFonts w:ascii="Arial" w:eastAsia="Calibri" w:hAnsi="Arial" w:cs="Arial"/>
        </w:rPr>
        <w:t>o member</w:t>
      </w:r>
      <w:r w:rsidR="006C5DB1">
        <w:rPr>
          <w:rFonts w:ascii="Arial" w:eastAsia="Calibri" w:hAnsi="Arial" w:cs="Arial"/>
        </w:rPr>
        <w:t>s</w:t>
      </w:r>
      <w:r w:rsidR="009E0C71">
        <w:rPr>
          <w:rFonts w:ascii="Arial" w:eastAsia="Calibri" w:hAnsi="Arial" w:cs="Arial"/>
        </w:rPr>
        <w:t xml:space="preserve"> claimed more than 100% of their GTA</w:t>
      </w:r>
      <w:r>
        <w:rPr>
          <w:rFonts w:ascii="Arial" w:eastAsia="Calibri" w:hAnsi="Arial" w:cs="Arial"/>
        </w:rPr>
        <w:t xml:space="preserve">, </w:t>
      </w:r>
      <w:r w:rsidR="00F40C43">
        <w:rPr>
          <w:rFonts w:ascii="Arial" w:eastAsia="Calibri" w:hAnsi="Arial" w:cs="Arial"/>
        </w:rPr>
        <w:t xml:space="preserve">one member claimed 100% of their </w:t>
      </w:r>
      <w:r w:rsidR="006C5DB1">
        <w:rPr>
          <w:rFonts w:ascii="Arial" w:eastAsia="Calibri" w:hAnsi="Arial" w:cs="Arial"/>
        </w:rPr>
        <w:t>G</w:t>
      </w:r>
      <w:r w:rsidR="00F40C43">
        <w:rPr>
          <w:rFonts w:ascii="Arial" w:eastAsia="Calibri" w:hAnsi="Arial" w:cs="Arial"/>
        </w:rPr>
        <w:t>TA</w:t>
      </w:r>
      <w:r>
        <w:rPr>
          <w:rFonts w:ascii="Arial" w:eastAsia="Calibri" w:hAnsi="Arial" w:cs="Arial"/>
        </w:rPr>
        <w:t xml:space="preserve"> and four members claimed 90-100% of their GTA</w:t>
      </w:r>
      <w:r w:rsidR="00805909">
        <w:rPr>
          <w:rFonts w:ascii="Arial" w:eastAsia="Calibri" w:hAnsi="Arial" w:cs="Arial"/>
        </w:rPr>
        <w:t xml:space="preserve">; </w:t>
      </w:r>
      <w:r>
        <w:rPr>
          <w:rFonts w:ascii="Arial" w:eastAsia="Calibri" w:hAnsi="Arial" w:cs="Arial"/>
        </w:rPr>
        <w:t>and</w:t>
      </w:r>
    </w:p>
    <w:p w14:paraId="2FF984BB" w14:textId="3DC0C728" w:rsidR="00F40C43" w:rsidRPr="00F40C43" w:rsidRDefault="00721E25" w:rsidP="005A4E95">
      <w:pPr>
        <w:pStyle w:val="ListParagraph"/>
        <w:numPr>
          <w:ilvl w:val="0"/>
          <w:numId w:val="14"/>
        </w:numPr>
        <w:spacing w:after="160"/>
        <w:ind w:hanging="357"/>
        <w:jc w:val="both"/>
        <w:rPr>
          <w:rFonts w:ascii="Arial" w:hAnsi="Arial" w:cs="Arial"/>
        </w:rPr>
      </w:pPr>
      <w:r>
        <w:rPr>
          <w:rFonts w:ascii="Arial" w:eastAsia="Calibri" w:hAnsi="Arial" w:cs="Arial"/>
        </w:rPr>
        <w:t>a</w:t>
      </w:r>
      <w:r w:rsidR="00F40C43">
        <w:rPr>
          <w:rFonts w:ascii="Arial" w:eastAsia="Calibri" w:hAnsi="Arial" w:cs="Arial"/>
        </w:rPr>
        <w:t>verage claims from the GTA for 2021</w:t>
      </w:r>
      <w:r w:rsidR="00BC40F1">
        <w:rPr>
          <w:rFonts w:ascii="Arial" w:eastAsia="Calibri" w:hAnsi="Arial" w:cs="Arial"/>
        </w:rPr>
        <w:t xml:space="preserve"> </w:t>
      </w:r>
      <w:r w:rsidR="00F40C43">
        <w:rPr>
          <w:rFonts w:ascii="Arial" w:eastAsia="Calibri" w:hAnsi="Arial" w:cs="Arial"/>
        </w:rPr>
        <w:t>-</w:t>
      </w:r>
      <w:r w:rsidR="00BC40F1">
        <w:rPr>
          <w:rFonts w:ascii="Arial" w:eastAsia="Calibri" w:hAnsi="Arial" w:cs="Arial"/>
        </w:rPr>
        <w:t xml:space="preserve"> </w:t>
      </w:r>
      <w:r w:rsidR="00F40C43">
        <w:rPr>
          <w:rFonts w:ascii="Arial" w:eastAsia="Calibri" w:hAnsi="Arial" w:cs="Arial"/>
        </w:rPr>
        <w:t xml:space="preserve">22 for each band follow: </w:t>
      </w:r>
    </w:p>
    <w:p w14:paraId="0033F6B3" w14:textId="5F43FDD8" w:rsidR="00F40C43" w:rsidRDefault="00F40C43" w:rsidP="005A4E95">
      <w:pPr>
        <w:pStyle w:val="ListParagraph"/>
        <w:numPr>
          <w:ilvl w:val="1"/>
          <w:numId w:val="14"/>
        </w:numPr>
        <w:spacing w:line="276" w:lineRule="auto"/>
        <w:ind w:hanging="357"/>
        <w:jc w:val="both"/>
        <w:rPr>
          <w:rFonts w:ascii="Arial" w:eastAsia="Calibri" w:hAnsi="Arial" w:cs="Arial"/>
        </w:rPr>
      </w:pPr>
      <w:r w:rsidRPr="00FB59EA">
        <w:rPr>
          <w:rFonts w:ascii="Arial" w:eastAsia="Calibri" w:hAnsi="Arial" w:cs="Arial"/>
          <w:bCs/>
        </w:rPr>
        <w:t>Band</w:t>
      </w:r>
      <w:r>
        <w:rPr>
          <w:rFonts w:ascii="Arial" w:eastAsia="Calibri" w:hAnsi="Arial" w:cs="Arial"/>
        </w:rPr>
        <w:t xml:space="preserve"> 1 members – 15% of GTA </w:t>
      </w:r>
    </w:p>
    <w:p w14:paraId="648BDCEF" w14:textId="4E6E3490" w:rsidR="00F40C43" w:rsidRDefault="00F40C43" w:rsidP="005A4E95">
      <w:pPr>
        <w:pStyle w:val="ListParagraph"/>
        <w:numPr>
          <w:ilvl w:val="1"/>
          <w:numId w:val="14"/>
        </w:numPr>
        <w:spacing w:line="276" w:lineRule="auto"/>
        <w:ind w:hanging="357"/>
        <w:jc w:val="both"/>
        <w:rPr>
          <w:rFonts w:ascii="Arial" w:eastAsia="Calibri" w:hAnsi="Arial" w:cs="Arial"/>
        </w:rPr>
      </w:pPr>
      <w:r>
        <w:rPr>
          <w:rFonts w:ascii="Arial" w:eastAsia="Calibri" w:hAnsi="Arial" w:cs="Arial"/>
        </w:rPr>
        <w:t xml:space="preserve">Band 2 members – 44% of GTA </w:t>
      </w:r>
    </w:p>
    <w:p w14:paraId="64A7A799" w14:textId="74E36422" w:rsidR="00F40C43" w:rsidRDefault="00F40C43" w:rsidP="005A4E95">
      <w:pPr>
        <w:pStyle w:val="ListParagraph"/>
        <w:numPr>
          <w:ilvl w:val="1"/>
          <w:numId w:val="14"/>
        </w:numPr>
        <w:spacing w:line="276" w:lineRule="auto"/>
        <w:ind w:hanging="357"/>
        <w:jc w:val="both"/>
        <w:rPr>
          <w:rFonts w:ascii="Arial" w:eastAsia="Calibri" w:hAnsi="Arial" w:cs="Arial"/>
        </w:rPr>
      </w:pPr>
      <w:r>
        <w:rPr>
          <w:rFonts w:ascii="Arial" w:eastAsia="Calibri" w:hAnsi="Arial" w:cs="Arial"/>
        </w:rPr>
        <w:t xml:space="preserve">Band 3 members – 34% of GTA </w:t>
      </w:r>
    </w:p>
    <w:p w14:paraId="0ED57A97" w14:textId="528554CD" w:rsidR="00F40C43" w:rsidRPr="00F40C43" w:rsidRDefault="00F40C43" w:rsidP="005A4E95">
      <w:pPr>
        <w:pStyle w:val="ListParagraph"/>
        <w:numPr>
          <w:ilvl w:val="1"/>
          <w:numId w:val="14"/>
        </w:numPr>
        <w:spacing w:line="276" w:lineRule="auto"/>
        <w:ind w:hanging="357"/>
        <w:jc w:val="both"/>
        <w:rPr>
          <w:rFonts w:ascii="Arial" w:eastAsia="Calibri" w:hAnsi="Arial" w:cs="Arial"/>
          <w:bCs/>
        </w:rPr>
      </w:pPr>
      <w:r>
        <w:rPr>
          <w:rFonts w:ascii="Arial" w:eastAsia="Calibri" w:hAnsi="Arial" w:cs="Arial"/>
        </w:rPr>
        <w:lastRenderedPageBreak/>
        <w:t xml:space="preserve">Band 4 members – 71% of GTA </w:t>
      </w:r>
    </w:p>
    <w:p w14:paraId="4840B4FC" w14:textId="7ED65FB3" w:rsidR="00F40C43" w:rsidRPr="005A4E95" w:rsidRDefault="00805909" w:rsidP="005A4E95">
      <w:pPr>
        <w:spacing w:before="160" w:after="160"/>
        <w:jc w:val="both"/>
        <w:rPr>
          <w:rFonts w:eastAsia="Calibri" w:cs="Arial"/>
          <w:bCs/>
          <w:sz w:val="22"/>
        </w:rPr>
      </w:pPr>
      <w:r>
        <w:rPr>
          <w:rFonts w:eastAsia="Calibri" w:cs="Arial"/>
          <w:bCs/>
          <w:sz w:val="22"/>
        </w:rPr>
        <w:t>The</w:t>
      </w:r>
      <w:r w:rsidR="001A4BDF">
        <w:rPr>
          <w:rFonts w:eastAsia="Calibri" w:cs="Arial"/>
          <w:bCs/>
          <w:sz w:val="22"/>
        </w:rPr>
        <w:t xml:space="preserve"> </w:t>
      </w:r>
      <w:r w:rsidR="00F40C43" w:rsidRPr="005A4E95">
        <w:rPr>
          <w:rFonts w:eastAsia="Calibri" w:cs="Arial"/>
          <w:bCs/>
          <w:sz w:val="22"/>
        </w:rPr>
        <w:t xml:space="preserve">Tribunal </w:t>
      </w:r>
      <w:r>
        <w:rPr>
          <w:rFonts w:eastAsia="Calibri" w:cs="Arial"/>
          <w:bCs/>
          <w:sz w:val="22"/>
        </w:rPr>
        <w:t>determined</w:t>
      </w:r>
      <w:r w:rsidR="00F40C43" w:rsidRPr="005A4E95">
        <w:rPr>
          <w:rFonts w:eastAsia="Calibri" w:cs="Arial"/>
          <w:bCs/>
          <w:sz w:val="22"/>
        </w:rPr>
        <w:t xml:space="preserve"> that the quantum of the GTA is sufficient for all bands. </w:t>
      </w:r>
    </w:p>
    <w:p w14:paraId="36D18FB9" w14:textId="2769B566" w:rsidR="00F40C43" w:rsidRPr="005A4E95" w:rsidRDefault="00F40C43" w:rsidP="005A4E95">
      <w:pPr>
        <w:keepNext/>
        <w:keepLines/>
        <w:spacing w:after="160"/>
        <w:jc w:val="both"/>
        <w:rPr>
          <w:rFonts w:eastAsia="Calibri" w:cs="Arial"/>
          <w:b/>
          <w:sz w:val="22"/>
        </w:rPr>
      </w:pPr>
      <w:r w:rsidRPr="005A4E95">
        <w:rPr>
          <w:rFonts w:eastAsia="Calibri" w:cs="Arial"/>
          <w:b/>
          <w:sz w:val="22"/>
        </w:rPr>
        <w:t xml:space="preserve">Opposition Spokespersons </w:t>
      </w:r>
    </w:p>
    <w:p w14:paraId="4DF0425D" w14:textId="790CEBC2" w:rsidR="006C5DB1" w:rsidRPr="00BC40F1" w:rsidRDefault="006C5DB1" w:rsidP="00EF32B1">
      <w:pPr>
        <w:spacing w:before="200" w:after="200" w:line="276" w:lineRule="auto"/>
        <w:jc w:val="both"/>
        <w:rPr>
          <w:rFonts w:eastAsia="Calibri" w:cs="Arial"/>
          <w:sz w:val="22"/>
        </w:rPr>
      </w:pPr>
      <w:r w:rsidRPr="00BC40F1">
        <w:rPr>
          <w:rFonts w:eastAsia="Calibri" w:cs="Arial"/>
          <w:sz w:val="22"/>
        </w:rPr>
        <w:t>In their submissions, t</w:t>
      </w:r>
      <w:r w:rsidR="00F40C43" w:rsidRPr="00BC40F1">
        <w:rPr>
          <w:rFonts w:eastAsia="Calibri" w:cs="Arial"/>
          <w:sz w:val="22"/>
        </w:rPr>
        <w:t xml:space="preserve">he Clerk and the CLA </w:t>
      </w:r>
      <w:r w:rsidR="00F40C43" w:rsidRPr="00AA35F8">
        <w:rPr>
          <w:rFonts w:eastAsia="Calibri" w:cs="Arial"/>
          <w:sz w:val="22"/>
        </w:rPr>
        <w:t xml:space="preserve">raised </w:t>
      </w:r>
      <w:r w:rsidR="00373E68">
        <w:rPr>
          <w:rFonts w:eastAsia="Calibri" w:cs="Arial"/>
          <w:sz w:val="22"/>
        </w:rPr>
        <w:t xml:space="preserve">that </w:t>
      </w:r>
      <w:r w:rsidR="00F40C43" w:rsidRPr="00BC40F1">
        <w:rPr>
          <w:rFonts w:eastAsia="Calibri" w:cs="Arial"/>
          <w:sz w:val="22"/>
        </w:rPr>
        <w:t xml:space="preserve">Opposition Spokespersons and Leaders of Minor Parties </w:t>
      </w:r>
      <w:r w:rsidR="00373E68">
        <w:rPr>
          <w:rFonts w:eastAsia="Calibri" w:cs="Arial"/>
          <w:sz w:val="22"/>
        </w:rPr>
        <w:t xml:space="preserve">are called upon to undertake official travel more frequently than the majority of other backbench members and there is no recognition in the current framework for this additional travel. </w:t>
      </w:r>
    </w:p>
    <w:p w14:paraId="457C8238" w14:textId="2C5D4C74" w:rsidR="00906A02" w:rsidRDefault="00906A02" w:rsidP="00BC40F1">
      <w:pPr>
        <w:spacing w:before="200" w:after="200" w:line="276" w:lineRule="auto"/>
        <w:jc w:val="both"/>
      </w:pPr>
      <w:r w:rsidRPr="003B503D">
        <w:rPr>
          <w:sz w:val="22"/>
        </w:rPr>
        <w:t xml:space="preserve">The Tribunal </w:t>
      </w:r>
      <w:r w:rsidRPr="003B503D">
        <w:rPr>
          <w:rFonts w:eastAsia="Calibri" w:cs="Arial"/>
          <w:sz w:val="22"/>
        </w:rPr>
        <w:t xml:space="preserve">noted that no Opposition Spokespersons claimed over 100% of their GTA in 2021-22, and </w:t>
      </w:r>
      <w:r w:rsidRPr="003B503D">
        <w:rPr>
          <w:sz w:val="22"/>
        </w:rPr>
        <w:t xml:space="preserve">agreed to consider the matter further on review of the 2022-23 </w:t>
      </w:r>
      <w:r w:rsidR="00EC590E">
        <w:rPr>
          <w:sz w:val="22"/>
        </w:rPr>
        <w:t xml:space="preserve">allowance </w:t>
      </w:r>
      <w:r w:rsidRPr="003B503D">
        <w:rPr>
          <w:sz w:val="22"/>
        </w:rPr>
        <w:t>expenditure data</w:t>
      </w:r>
      <w:r>
        <w:t>.</w:t>
      </w:r>
    </w:p>
    <w:p w14:paraId="47ABC549" w14:textId="33DAF121" w:rsidR="00F40C43" w:rsidRDefault="00F40C43" w:rsidP="00F40C43">
      <w:pPr>
        <w:keepNext/>
        <w:keepLines/>
        <w:spacing w:after="160"/>
        <w:jc w:val="both"/>
        <w:rPr>
          <w:rFonts w:eastAsia="Calibri" w:cs="Arial"/>
          <w:b/>
          <w:sz w:val="22"/>
        </w:rPr>
      </w:pPr>
      <w:r>
        <w:rPr>
          <w:rFonts w:eastAsia="Calibri" w:cs="Arial"/>
          <w:b/>
          <w:sz w:val="22"/>
        </w:rPr>
        <w:t>Cross bench members – additional staff member travel</w:t>
      </w:r>
    </w:p>
    <w:p w14:paraId="7161463E" w14:textId="62C50E9E" w:rsidR="00F40C43" w:rsidRPr="00EF32B1" w:rsidRDefault="00F40C43" w:rsidP="00EF32B1">
      <w:pPr>
        <w:spacing w:before="200" w:after="200" w:line="276" w:lineRule="auto"/>
        <w:jc w:val="both"/>
        <w:rPr>
          <w:rFonts w:eastAsia="Calibri" w:cs="Arial"/>
          <w:sz w:val="22"/>
        </w:rPr>
      </w:pPr>
      <w:r w:rsidRPr="00EF32B1">
        <w:rPr>
          <w:rFonts w:eastAsia="Calibri" w:cs="Arial"/>
          <w:sz w:val="22"/>
        </w:rPr>
        <w:t>The Tribunal committed to reviewing expenditure on travel for the Parliamentary Policy Officer allocated to each cross bench member. The Tribunal notes that only two cross bench members claimed travel for their additional staff member from their GTA in 2021</w:t>
      </w:r>
      <w:r w:rsidR="00373E68">
        <w:rPr>
          <w:rFonts w:eastAsia="Calibri" w:cs="Arial"/>
          <w:sz w:val="22"/>
        </w:rPr>
        <w:t xml:space="preserve"> </w:t>
      </w:r>
      <w:r w:rsidRPr="00EF32B1">
        <w:rPr>
          <w:rFonts w:eastAsia="Calibri" w:cs="Arial"/>
          <w:sz w:val="22"/>
        </w:rPr>
        <w:t>-</w:t>
      </w:r>
      <w:r w:rsidR="00373E68">
        <w:rPr>
          <w:rFonts w:eastAsia="Calibri" w:cs="Arial"/>
          <w:sz w:val="22"/>
        </w:rPr>
        <w:t xml:space="preserve"> </w:t>
      </w:r>
      <w:r w:rsidRPr="00EF32B1">
        <w:rPr>
          <w:rFonts w:eastAsia="Calibri" w:cs="Arial"/>
          <w:sz w:val="22"/>
        </w:rPr>
        <w:t>22</w:t>
      </w:r>
      <w:r w:rsidR="00572548" w:rsidRPr="00EF32B1">
        <w:rPr>
          <w:rFonts w:eastAsia="Calibri" w:cs="Arial"/>
          <w:sz w:val="22"/>
        </w:rPr>
        <w:t xml:space="preserve"> and that the amount of GTA claimed for this travel </w:t>
      </w:r>
      <w:r w:rsidR="00DF3065" w:rsidRPr="00EF32B1">
        <w:rPr>
          <w:rFonts w:eastAsia="Calibri" w:cs="Arial"/>
          <w:sz w:val="22"/>
        </w:rPr>
        <w:t>does not require a subsequent a</w:t>
      </w:r>
      <w:r w:rsidR="00572548" w:rsidRPr="00EF32B1">
        <w:rPr>
          <w:rFonts w:eastAsia="Calibri" w:cs="Arial"/>
          <w:sz w:val="22"/>
        </w:rPr>
        <w:t xml:space="preserve">djustment to the </w:t>
      </w:r>
      <w:r w:rsidR="00DF3065" w:rsidRPr="00EF32B1">
        <w:rPr>
          <w:rFonts w:eastAsia="Calibri" w:cs="Arial"/>
          <w:sz w:val="22"/>
        </w:rPr>
        <w:t xml:space="preserve">quantum of the </w:t>
      </w:r>
      <w:r w:rsidR="00572548" w:rsidRPr="00EF32B1">
        <w:rPr>
          <w:rFonts w:eastAsia="Calibri" w:cs="Arial"/>
          <w:sz w:val="22"/>
        </w:rPr>
        <w:t xml:space="preserve">GTA. </w:t>
      </w:r>
    </w:p>
    <w:p w14:paraId="6F40CACF" w14:textId="64595904" w:rsidR="00572548" w:rsidRDefault="00572548" w:rsidP="00F40C43">
      <w:pPr>
        <w:keepNext/>
        <w:keepLines/>
        <w:spacing w:after="160"/>
        <w:jc w:val="both"/>
        <w:rPr>
          <w:rFonts w:eastAsia="Calibri" w:cs="Arial"/>
          <w:b/>
          <w:sz w:val="22"/>
        </w:rPr>
      </w:pPr>
      <w:r>
        <w:rPr>
          <w:rFonts w:eastAsia="Calibri" w:cs="Arial"/>
          <w:b/>
          <w:sz w:val="22"/>
        </w:rPr>
        <w:t>Daily Travel Allowance (DTA) and Parliamentary Business Overnight Rate (PBOR)</w:t>
      </w:r>
    </w:p>
    <w:p w14:paraId="176FA555" w14:textId="3E186B1D" w:rsidR="00572548" w:rsidRPr="00DF3065" w:rsidRDefault="00572548" w:rsidP="00DF3065">
      <w:pPr>
        <w:spacing w:after="160"/>
        <w:jc w:val="both"/>
        <w:rPr>
          <w:rFonts w:eastAsia="Calibri" w:cs="Arial"/>
          <w:bCs/>
          <w:i/>
          <w:iCs/>
          <w:sz w:val="22"/>
        </w:rPr>
      </w:pPr>
      <w:r w:rsidRPr="00DF3065">
        <w:rPr>
          <w:rFonts w:eastAsia="Calibri" w:cs="Arial"/>
          <w:bCs/>
          <w:i/>
          <w:iCs/>
          <w:sz w:val="22"/>
        </w:rPr>
        <w:t>DTA</w:t>
      </w:r>
    </w:p>
    <w:p w14:paraId="518469CA" w14:textId="52B8D27B" w:rsidR="00572548" w:rsidRPr="00DF3065" w:rsidRDefault="00572548" w:rsidP="00DF3065">
      <w:pPr>
        <w:spacing w:after="160"/>
        <w:jc w:val="both"/>
        <w:rPr>
          <w:rFonts w:eastAsia="Calibri" w:cs="Arial"/>
          <w:bCs/>
          <w:sz w:val="22"/>
        </w:rPr>
      </w:pPr>
      <w:r w:rsidRPr="00DF3065">
        <w:rPr>
          <w:rFonts w:eastAsia="Calibri" w:cs="Arial"/>
          <w:bCs/>
          <w:sz w:val="22"/>
        </w:rPr>
        <w:t xml:space="preserve">When a member travels for the primary purpose of conducting Parliamentary Business, and that travel necessitates an overnight absence from their normal place of residence, and associated overnight expenses are incurred, then a DTA may be claimed from the GTA. </w:t>
      </w:r>
    </w:p>
    <w:p w14:paraId="5FDB5933" w14:textId="78ABDC63" w:rsidR="00572548" w:rsidRPr="00DF3065" w:rsidRDefault="00572548" w:rsidP="00DF3065">
      <w:pPr>
        <w:spacing w:after="160"/>
        <w:jc w:val="both"/>
        <w:rPr>
          <w:rFonts w:eastAsia="Calibri" w:cs="Arial"/>
          <w:bCs/>
          <w:sz w:val="22"/>
        </w:rPr>
      </w:pPr>
      <w:r w:rsidRPr="00DF3065">
        <w:rPr>
          <w:rFonts w:eastAsia="Calibri" w:cs="Arial"/>
          <w:bCs/>
          <w:sz w:val="22"/>
        </w:rPr>
        <w:t xml:space="preserve">DTA may be claimed to meet a variety of expenses including: </w:t>
      </w:r>
    </w:p>
    <w:tbl>
      <w:tblPr>
        <w:tblStyle w:val="TableGrid"/>
        <w:tblW w:w="9061" w:type="dxa"/>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53"/>
        <w:gridCol w:w="4508"/>
      </w:tblGrid>
      <w:tr w:rsidR="00572548" w:rsidRPr="00DF3065" w14:paraId="2A5FE1C7" w14:textId="77777777" w:rsidTr="005A4E95">
        <w:trPr>
          <w:trHeight w:val="1056"/>
        </w:trPr>
        <w:tc>
          <w:tcPr>
            <w:tcW w:w="4553" w:type="dxa"/>
          </w:tcPr>
          <w:p w14:paraId="7CF9EC2A" w14:textId="77777777" w:rsidR="00572548" w:rsidRPr="00DF3065" w:rsidRDefault="00572548" w:rsidP="005A4E95">
            <w:pPr>
              <w:pStyle w:val="ListParagraph"/>
              <w:numPr>
                <w:ilvl w:val="0"/>
                <w:numId w:val="22"/>
              </w:numPr>
              <w:spacing w:after="160" w:line="276" w:lineRule="auto"/>
              <w:jc w:val="both"/>
              <w:rPr>
                <w:rFonts w:ascii="Arial" w:eastAsia="Calibri" w:hAnsi="Arial" w:cs="Arial"/>
                <w:bCs/>
                <w:szCs w:val="22"/>
              </w:rPr>
            </w:pPr>
            <w:r w:rsidRPr="00DF3065">
              <w:rPr>
                <w:rFonts w:ascii="Arial" w:eastAsia="Calibri" w:hAnsi="Arial" w:cs="Arial"/>
                <w:bCs/>
                <w:szCs w:val="22"/>
              </w:rPr>
              <w:t>accommodation</w:t>
            </w:r>
          </w:p>
          <w:p w14:paraId="1AE60404" w14:textId="77777777" w:rsidR="00572548" w:rsidRPr="00DF3065" w:rsidRDefault="00572548" w:rsidP="005A4E95">
            <w:pPr>
              <w:pStyle w:val="ListParagraph"/>
              <w:numPr>
                <w:ilvl w:val="0"/>
                <w:numId w:val="22"/>
              </w:numPr>
              <w:spacing w:after="160" w:line="276" w:lineRule="auto"/>
              <w:jc w:val="both"/>
              <w:rPr>
                <w:rFonts w:ascii="Arial" w:eastAsia="Calibri" w:hAnsi="Arial" w:cs="Arial"/>
                <w:bCs/>
                <w:szCs w:val="22"/>
              </w:rPr>
            </w:pPr>
            <w:r w:rsidRPr="00DF3065">
              <w:rPr>
                <w:rFonts w:ascii="Arial" w:eastAsia="Calibri" w:hAnsi="Arial" w:cs="Arial"/>
                <w:bCs/>
                <w:szCs w:val="22"/>
              </w:rPr>
              <w:t>meals/beverages</w:t>
            </w:r>
          </w:p>
          <w:p w14:paraId="56585F6C" w14:textId="398E365A" w:rsidR="00572548" w:rsidRPr="00DF3065" w:rsidRDefault="00572548" w:rsidP="005A4E95">
            <w:pPr>
              <w:pStyle w:val="ListParagraph"/>
              <w:numPr>
                <w:ilvl w:val="0"/>
                <w:numId w:val="22"/>
              </w:numPr>
              <w:spacing w:after="160" w:line="276" w:lineRule="auto"/>
              <w:jc w:val="both"/>
              <w:rPr>
                <w:rFonts w:ascii="Arial" w:eastAsia="Calibri" w:hAnsi="Arial" w:cs="Arial"/>
                <w:bCs/>
                <w:szCs w:val="22"/>
              </w:rPr>
            </w:pPr>
            <w:r w:rsidRPr="00DF3065">
              <w:rPr>
                <w:rFonts w:ascii="Arial" w:eastAsia="Calibri" w:hAnsi="Arial" w:cs="Arial"/>
                <w:bCs/>
                <w:szCs w:val="22"/>
              </w:rPr>
              <w:t>hotel telephone/data costs</w:t>
            </w:r>
          </w:p>
        </w:tc>
        <w:tc>
          <w:tcPr>
            <w:tcW w:w="4508" w:type="dxa"/>
          </w:tcPr>
          <w:p w14:paraId="17519179" w14:textId="77777777" w:rsidR="00572548" w:rsidRPr="00DF3065" w:rsidRDefault="00572548" w:rsidP="005A4E95">
            <w:pPr>
              <w:pStyle w:val="ListParagraph"/>
              <w:numPr>
                <w:ilvl w:val="0"/>
                <w:numId w:val="22"/>
              </w:numPr>
              <w:spacing w:after="160" w:line="276" w:lineRule="auto"/>
              <w:jc w:val="both"/>
              <w:rPr>
                <w:rFonts w:ascii="Arial" w:eastAsia="Calibri" w:hAnsi="Arial" w:cs="Arial"/>
                <w:bCs/>
                <w:szCs w:val="22"/>
              </w:rPr>
            </w:pPr>
            <w:r w:rsidRPr="00DF3065">
              <w:rPr>
                <w:rFonts w:ascii="Arial" w:eastAsia="Calibri" w:hAnsi="Arial" w:cs="Arial"/>
                <w:bCs/>
                <w:szCs w:val="22"/>
              </w:rPr>
              <w:t>dry cleaning</w:t>
            </w:r>
          </w:p>
          <w:p w14:paraId="2F467D44" w14:textId="77777777" w:rsidR="00572548" w:rsidRPr="00DF3065" w:rsidRDefault="00572548" w:rsidP="005A4E95">
            <w:pPr>
              <w:pStyle w:val="ListParagraph"/>
              <w:numPr>
                <w:ilvl w:val="0"/>
                <w:numId w:val="22"/>
              </w:numPr>
              <w:spacing w:after="160" w:line="276" w:lineRule="auto"/>
              <w:jc w:val="both"/>
              <w:rPr>
                <w:rFonts w:ascii="Arial" w:eastAsia="Calibri" w:hAnsi="Arial" w:cs="Arial"/>
                <w:bCs/>
                <w:szCs w:val="22"/>
              </w:rPr>
            </w:pPr>
            <w:r w:rsidRPr="00DF3065">
              <w:rPr>
                <w:rFonts w:ascii="Arial" w:eastAsia="Calibri" w:hAnsi="Arial" w:cs="Arial"/>
                <w:bCs/>
                <w:szCs w:val="22"/>
              </w:rPr>
              <w:t>incidentals</w:t>
            </w:r>
          </w:p>
          <w:p w14:paraId="45535E92" w14:textId="0789FF22" w:rsidR="00572548" w:rsidRPr="00DF3065" w:rsidRDefault="00572548" w:rsidP="005A4E95">
            <w:pPr>
              <w:pStyle w:val="ListParagraph"/>
              <w:numPr>
                <w:ilvl w:val="0"/>
                <w:numId w:val="22"/>
              </w:numPr>
              <w:spacing w:after="160" w:line="276" w:lineRule="auto"/>
              <w:jc w:val="both"/>
              <w:rPr>
                <w:rFonts w:ascii="Arial" w:eastAsia="Calibri" w:hAnsi="Arial" w:cs="Arial"/>
                <w:bCs/>
                <w:szCs w:val="22"/>
              </w:rPr>
            </w:pPr>
            <w:r w:rsidRPr="00DF3065">
              <w:rPr>
                <w:rFonts w:ascii="Arial" w:eastAsia="Calibri" w:hAnsi="Arial" w:cs="Arial"/>
                <w:bCs/>
                <w:szCs w:val="22"/>
              </w:rPr>
              <w:t>porterage</w:t>
            </w:r>
          </w:p>
        </w:tc>
      </w:tr>
    </w:tbl>
    <w:p w14:paraId="3B6567DC" w14:textId="0D93740B" w:rsidR="00572548" w:rsidRPr="00DF3065" w:rsidRDefault="00572548" w:rsidP="005A4E95">
      <w:pPr>
        <w:spacing w:after="160"/>
        <w:jc w:val="both"/>
        <w:rPr>
          <w:rFonts w:eastAsia="Calibri" w:cs="Arial"/>
          <w:bCs/>
          <w:sz w:val="22"/>
        </w:rPr>
      </w:pPr>
      <w:r w:rsidRPr="00DF3065">
        <w:rPr>
          <w:rFonts w:eastAsia="Calibri" w:cs="Arial"/>
          <w:bCs/>
          <w:sz w:val="22"/>
        </w:rPr>
        <w:t xml:space="preserve">The amount of the DTA is provided at Table </w:t>
      </w:r>
      <w:r w:rsidR="00DF3065">
        <w:rPr>
          <w:rFonts w:eastAsia="Calibri" w:cs="Arial"/>
          <w:bCs/>
          <w:sz w:val="22"/>
        </w:rPr>
        <w:t>4</w:t>
      </w:r>
      <w:r w:rsidRPr="00DF3065">
        <w:rPr>
          <w:rFonts w:eastAsia="Calibri" w:cs="Arial"/>
          <w:bCs/>
          <w:sz w:val="22"/>
        </w:rPr>
        <w:t>.</w:t>
      </w:r>
    </w:p>
    <w:p w14:paraId="3C4E3139" w14:textId="4A70DCF9" w:rsidR="00572548" w:rsidRPr="00DF3065" w:rsidRDefault="00572548" w:rsidP="00DF3065">
      <w:pPr>
        <w:spacing w:after="0"/>
        <w:jc w:val="both"/>
        <w:rPr>
          <w:rFonts w:eastAsia="Calibri" w:cs="Arial"/>
          <w:b/>
          <w:sz w:val="18"/>
          <w:szCs w:val="18"/>
        </w:rPr>
      </w:pPr>
      <w:r w:rsidRPr="00DF3065">
        <w:rPr>
          <w:rFonts w:eastAsia="Calibri" w:cs="Arial"/>
          <w:b/>
          <w:sz w:val="18"/>
          <w:szCs w:val="18"/>
        </w:rPr>
        <w:t xml:space="preserve">Table </w:t>
      </w:r>
      <w:r w:rsidR="00DF3065" w:rsidRPr="00DF3065">
        <w:rPr>
          <w:rFonts w:eastAsia="Calibri" w:cs="Arial"/>
          <w:b/>
          <w:sz w:val="18"/>
          <w:szCs w:val="18"/>
        </w:rPr>
        <w:t>4</w:t>
      </w:r>
      <w:r w:rsidRPr="00DF3065">
        <w:rPr>
          <w:rFonts w:eastAsia="Calibri" w:cs="Arial"/>
          <w:b/>
          <w:sz w:val="18"/>
          <w:szCs w:val="18"/>
        </w:rPr>
        <w:t xml:space="preserve">: DTA rate for travel within Australia, New Zealand </w:t>
      </w:r>
      <w:r w:rsidR="002C239F">
        <w:rPr>
          <w:rFonts w:eastAsia="Calibri" w:cs="Arial"/>
          <w:b/>
          <w:sz w:val="18"/>
          <w:szCs w:val="18"/>
        </w:rPr>
        <w:t xml:space="preserve">(NZ) </w:t>
      </w:r>
      <w:r w:rsidRPr="00DF3065">
        <w:rPr>
          <w:rFonts w:eastAsia="Calibri" w:cs="Arial"/>
          <w:b/>
          <w:sz w:val="18"/>
          <w:szCs w:val="18"/>
        </w:rPr>
        <w:t xml:space="preserve">or Papua New Guinea </w:t>
      </w:r>
      <w:r w:rsidR="002C239F">
        <w:rPr>
          <w:rFonts w:eastAsia="Calibri" w:cs="Arial"/>
          <w:b/>
          <w:sz w:val="18"/>
          <w:szCs w:val="18"/>
        </w:rPr>
        <w:t>(PNG)</w:t>
      </w:r>
    </w:p>
    <w:tbl>
      <w:tblPr>
        <w:tblStyle w:val="TableGrid"/>
        <w:tblW w:w="0" w:type="auto"/>
        <w:tblInd w:w="0" w:type="dxa"/>
        <w:tblLook w:val="04A0" w:firstRow="1" w:lastRow="0" w:firstColumn="1" w:lastColumn="0" w:noHBand="0" w:noVBand="1"/>
      </w:tblPr>
      <w:tblGrid>
        <w:gridCol w:w="4514"/>
        <w:gridCol w:w="4502"/>
      </w:tblGrid>
      <w:tr w:rsidR="00572548" w:rsidRPr="00DF3065" w14:paraId="5FFD842E" w14:textId="77777777" w:rsidTr="00CA1026">
        <w:tc>
          <w:tcPr>
            <w:tcW w:w="4675" w:type="dxa"/>
            <w:shd w:val="clear" w:color="auto" w:fill="9CC2E5" w:themeFill="accent1" w:themeFillTint="99"/>
          </w:tcPr>
          <w:p w14:paraId="1EC32A6E" w14:textId="77777777" w:rsidR="00572548" w:rsidRPr="00DF3065" w:rsidRDefault="00572548" w:rsidP="00CA1026">
            <w:pPr>
              <w:keepNext/>
              <w:keepLines/>
              <w:spacing w:line="276" w:lineRule="auto"/>
              <w:jc w:val="both"/>
              <w:rPr>
                <w:rFonts w:eastAsia="Calibri" w:cs="Arial"/>
                <w:b/>
                <w:sz w:val="18"/>
                <w:szCs w:val="18"/>
              </w:rPr>
            </w:pPr>
            <w:r w:rsidRPr="00DF3065">
              <w:rPr>
                <w:rFonts w:eastAsia="Calibri" w:cs="Arial"/>
                <w:b/>
                <w:sz w:val="18"/>
                <w:szCs w:val="18"/>
              </w:rPr>
              <w:t>Location of overnight stay</w:t>
            </w:r>
          </w:p>
        </w:tc>
        <w:tc>
          <w:tcPr>
            <w:tcW w:w="4675" w:type="dxa"/>
            <w:shd w:val="clear" w:color="auto" w:fill="9CC2E5" w:themeFill="accent1" w:themeFillTint="99"/>
          </w:tcPr>
          <w:p w14:paraId="403F85D1" w14:textId="77777777" w:rsidR="00572548" w:rsidRPr="00DF3065" w:rsidRDefault="00572548" w:rsidP="00CA1026">
            <w:pPr>
              <w:keepNext/>
              <w:keepLines/>
              <w:spacing w:line="276" w:lineRule="auto"/>
              <w:jc w:val="both"/>
              <w:rPr>
                <w:rFonts w:eastAsia="Calibri" w:cs="Arial"/>
                <w:b/>
                <w:sz w:val="18"/>
                <w:szCs w:val="18"/>
              </w:rPr>
            </w:pPr>
            <w:r w:rsidRPr="00DF3065">
              <w:rPr>
                <w:rFonts w:eastAsia="Calibri" w:cs="Arial"/>
                <w:b/>
                <w:sz w:val="18"/>
                <w:szCs w:val="18"/>
              </w:rPr>
              <w:t>Amount</w:t>
            </w:r>
          </w:p>
        </w:tc>
      </w:tr>
      <w:tr w:rsidR="00572548" w:rsidRPr="00DF3065" w14:paraId="0BA8CF81" w14:textId="77777777" w:rsidTr="00CA1026">
        <w:tc>
          <w:tcPr>
            <w:tcW w:w="4675" w:type="dxa"/>
          </w:tcPr>
          <w:p w14:paraId="1BC4D013" w14:textId="77777777" w:rsidR="00572548" w:rsidRPr="00DF3065" w:rsidRDefault="00572548" w:rsidP="002C239F">
            <w:pPr>
              <w:jc w:val="both"/>
              <w:rPr>
                <w:rFonts w:eastAsia="Calibri" w:cs="Arial"/>
                <w:bCs/>
                <w:sz w:val="18"/>
                <w:szCs w:val="18"/>
              </w:rPr>
            </w:pPr>
            <w:r w:rsidRPr="00DF3065">
              <w:rPr>
                <w:rFonts w:eastAsia="Calibri" w:cs="Arial"/>
                <w:bCs/>
                <w:sz w:val="18"/>
                <w:szCs w:val="18"/>
              </w:rPr>
              <w:t>State and Territory capital cities within Australia as well as Wellington (NZ) and Port Moresby (PNG)</w:t>
            </w:r>
          </w:p>
        </w:tc>
        <w:tc>
          <w:tcPr>
            <w:tcW w:w="4675" w:type="dxa"/>
          </w:tcPr>
          <w:p w14:paraId="686F29F0" w14:textId="77777777" w:rsidR="00572548" w:rsidRPr="00DF3065" w:rsidRDefault="00572548" w:rsidP="00CA1026">
            <w:pPr>
              <w:jc w:val="both"/>
              <w:rPr>
                <w:rFonts w:eastAsia="Calibri" w:cs="Arial"/>
                <w:bCs/>
                <w:sz w:val="18"/>
                <w:szCs w:val="18"/>
              </w:rPr>
            </w:pPr>
            <w:r w:rsidRPr="00DF3065">
              <w:rPr>
                <w:rFonts w:eastAsia="Calibri" w:cs="Arial"/>
                <w:bCs/>
                <w:sz w:val="18"/>
                <w:szCs w:val="18"/>
              </w:rPr>
              <w:t>$399.00 per day</w:t>
            </w:r>
          </w:p>
        </w:tc>
      </w:tr>
      <w:tr w:rsidR="00572548" w:rsidRPr="00DF3065" w14:paraId="1BCDC6AE" w14:textId="77777777" w:rsidTr="00CA1026">
        <w:tc>
          <w:tcPr>
            <w:tcW w:w="4675" w:type="dxa"/>
          </w:tcPr>
          <w:p w14:paraId="662D503E" w14:textId="77777777" w:rsidR="00572548" w:rsidRPr="00DF3065" w:rsidRDefault="00572548" w:rsidP="002C239F">
            <w:pPr>
              <w:jc w:val="both"/>
              <w:rPr>
                <w:rFonts w:eastAsia="Calibri" w:cs="Arial"/>
                <w:bCs/>
                <w:sz w:val="18"/>
                <w:szCs w:val="18"/>
              </w:rPr>
            </w:pPr>
            <w:r w:rsidRPr="00DF3065">
              <w:rPr>
                <w:rFonts w:eastAsia="Calibri" w:cs="Arial"/>
                <w:bCs/>
                <w:sz w:val="18"/>
                <w:szCs w:val="18"/>
              </w:rPr>
              <w:t>All other destinations</w:t>
            </w:r>
          </w:p>
        </w:tc>
        <w:tc>
          <w:tcPr>
            <w:tcW w:w="4675" w:type="dxa"/>
          </w:tcPr>
          <w:p w14:paraId="736C4631" w14:textId="77777777" w:rsidR="00572548" w:rsidRPr="00DF3065" w:rsidRDefault="00572548" w:rsidP="00CA1026">
            <w:pPr>
              <w:jc w:val="both"/>
              <w:rPr>
                <w:rFonts w:eastAsia="Calibri" w:cs="Arial"/>
                <w:bCs/>
                <w:sz w:val="18"/>
                <w:szCs w:val="18"/>
              </w:rPr>
            </w:pPr>
            <w:r w:rsidRPr="00DF3065">
              <w:rPr>
                <w:rFonts w:eastAsia="Calibri" w:cs="Arial"/>
                <w:bCs/>
                <w:sz w:val="18"/>
                <w:szCs w:val="18"/>
              </w:rPr>
              <w:t>$284.00 per day</w:t>
            </w:r>
          </w:p>
        </w:tc>
      </w:tr>
    </w:tbl>
    <w:p w14:paraId="404BC4DF" w14:textId="247729AE" w:rsidR="00572548" w:rsidRPr="002A75BA" w:rsidRDefault="00DF3065" w:rsidP="00DF3065">
      <w:pPr>
        <w:spacing w:after="160"/>
        <w:jc w:val="both"/>
        <w:rPr>
          <w:rFonts w:eastAsia="Calibri" w:cs="Arial"/>
          <w:bCs/>
          <w:i/>
          <w:iCs/>
          <w:sz w:val="18"/>
          <w:szCs w:val="18"/>
        </w:rPr>
      </w:pPr>
      <w:r>
        <w:rPr>
          <w:rFonts w:eastAsia="Calibri" w:cs="Arial"/>
          <w:bCs/>
          <w:sz w:val="18"/>
          <w:szCs w:val="18"/>
        </w:rPr>
        <w:t>Note:</w:t>
      </w:r>
      <w:r w:rsidR="00572548" w:rsidRPr="002A75BA">
        <w:rPr>
          <w:rFonts w:eastAsia="Calibri" w:cs="Arial"/>
          <w:bCs/>
          <w:i/>
          <w:iCs/>
          <w:sz w:val="18"/>
          <w:szCs w:val="18"/>
        </w:rPr>
        <w:t xml:space="preserve"> </w:t>
      </w:r>
      <w:r w:rsidR="00572548" w:rsidRPr="00DF3065">
        <w:rPr>
          <w:rFonts w:eastAsia="Calibri" w:cs="Arial"/>
          <w:bCs/>
          <w:sz w:val="18"/>
          <w:szCs w:val="18"/>
        </w:rPr>
        <w:t>Where a member is provided with complimentary accommodation or stays with relatives or friends a DTA rate of 1/3</w:t>
      </w:r>
      <w:r w:rsidR="00572548" w:rsidRPr="00DF3065">
        <w:rPr>
          <w:rFonts w:eastAsia="Calibri" w:cs="Arial"/>
          <w:bCs/>
          <w:sz w:val="18"/>
          <w:szCs w:val="18"/>
          <w:vertAlign w:val="superscript"/>
        </w:rPr>
        <w:t>rd</w:t>
      </w:r>
      <w:r w:rsidR="00572548" w:rsidRPr="00DF3065">
        <w:rPr>
          <w:rFonts w:eastAsia="Calibri" w:cs="Arial"/>
          <w:bCs/>
          <w:sz w:val="18"/>
          <w:szCs w:val="18"/>
        </w:rPr>
        <w:t xml:space="preserve"> of the full rate applies.</w:t>
      </w:r>
      <w:r w:rsidR="00572548" w:rsidRPr="002A75BA">
        <w:rPr>
          <w:rFonts w:eastAsia="Calibri" w:cs="Arial"/>
          <w:bCs/>
          <w:i/>
          <w:iCs/>
          <w:sz w:val="18"/>
          <w:szCs w:val="18"/>
        </w:rPr>
        <w:t xml:space="preserve"> </w:t>
      </w:r>
    </w:p>
    <w:p w14:paraId="35CC79AD" w14:textId="4C5C12C6" w:rsidR="00572548" w:rsidRPr="003B503D" w:rsidRDefault="00572548" w:rsidP="005A4E95">
      <w:pPr>
        <w:spacing w:after="160"/>
        <w:jc w:val="both"/>
        <w:rPr>
          <w:rFonts w:eastAsia="Calibri" w:cs="Arial"/>
          <w:bCs/>
          <w:sz w:val="22"/>
        </w:rPr>
      </w:pPr>
      <w:r w:rsidRPr="003B503D">
        <w:rPr>
          <w:rFonts w:eastAsia="Calibri" w:cs="Arial"/>
          <w:bCs/>
          <w:sz w:val="22"/>
        </w:rPr>
        <w:t>Where a member is required to travel overseas, other than to NZ or PNG, the rate is $333.00</w:t>
      </w:r>
      <w:r w:rsidR="002C239F" w:rsidRPr="003B503D">
        <w:rPr>
          <w:rFonts w:eastAsia="Calibri" w:cs="Arial"/>
          <w:bCs/>
          <w:sz w:val="22"/>
        </w:rPr>
        <w:t xml:space="preserve"> per day</w:t>
      </w:r>
      <w:r w:rsidR="003C2E31" w:rsidRPr="003B503D">
        <w:rPr>
          <w:rFonts w:eastAsia="Calibri" w:cs="Arial"/>
          <w:bCs/>
          <w:sz w:val="22"/>
        </w:rPr>
        <w:t>.</w:t>
      </w:r>
    </w:p>
    <w:p w14:paraId="337F6C8A" w14:textId="540D7006" w:rsidR="00572548" w:rsidRPr="00122C37" w:rsidRDefault="00572548" w:rsidP="005A4E95">
      <w:pPr>
        <w:keepNext/>
        <w:keepLines/>
        <w:spacing w:after="160"/>
        <w:jc w:val="both"/>
        <w:rPr>
          <w:rFonts w:eastAsia="Calibri" w:cs="Arial"/>
          <w:bCs/>
          <w:i/>
          <w:iCs/>
          <w:sz w:val="22"/>
        </w:rPr>
      </w:pPr>
      <w:r w:rsidRPr="00122C37">
        <w:rPr>
          <w:rFonts w:eastAsia="Calibri" w:cs="Arial"/>
          <w:bCs/>
          <w:i/>
          <w:iCs/>
          <w:sz w:val="22"/>
        </w:rPr>
        <w:t>PBOR</w:t>
      </w:r>
    </w:p>
    <w:p w14:paraId="12C89612" w14:textId="0349105F" w:rsidR="00572548" w:rsidRPr="003B503D" w:rsidRDefault="00572548" w:rsidP="005A4E95">
      <w:pPr>
        <w:spacing w:after="160"/>
        <w:jc w:val="both"/>
        <w:rPr>
          <w:rFonts w:eastAsia="Calibri" w:cs="Arial"/>
          <w:bCs/>
          <w:sz w:val="22"/>
        </w:rPr>
      </w:pPr>
      <w:r w:rsidRPr="003B503D">
        <w:rPr>
          <w:rFonts w:eastAsia="Calibri" w:cs="Arial"/>
          <w:bCs/>
          <w:sz w:val="22"/>
        </w:rPr>
        <w:t>The PBOR is claimable for overnight stays in Brisbane where the stay is for the primary purpose of Parliamentary Business. The PBOR is not charged against the member’s GTA</w:t>
      </w:r>
      <w:r w:rsidR="003C2E31" w:rsidRPr="003B503D">
        <w:rPr>
          <w:rFonts w:eastAsia="Calibri" w:cs="Arial"/>
          <w:bCs/>
          <w:sz w:val="22"/>
        </w:rPr>
        <w:t>,</w:t>
      </w:r>
      <w:r w:rsidRPr="003B503D">
        <w:rPr>
          <w:rFonts w:eastAsia="Calibri" w:cs="Arial"/>
          <w:bCs/>
          <w:sz w:val="22"/>
        </w:rPr>
        <w:t xml:space="preserve"> but the total sum of claims is reported as a note to the Annual GTA Report tabled in the Parliament. </w:t>
      </w:r>
    </w:p>
    <w:p w14:paraId="6D8E7856" w14:textId="73B61FD1" w:rsidR="00572548" w:rsidRPr="003B503D" w:rsidRDefault="00572548" w:rsidP="00572548">
      <w:pPr>
        <w:jc w:val="both"/>
        <w:rPr>
          <w:rFonts w:eastAsia="Calibri" w:cs="Arial"/>
          <w:bCs/>
          <w:sz w:val="22"/>
        </w:rPr>
      </w:pPr>
      <w:r w:rsidRPr="003B503D">
        <w:rPr>
          <w:rFonts w:eastAsia="Calibri" w:cs="Arial"/>
          <w:bCs/>
          <w:sz w:val="22"/>
        </w:rPr>
        <w:t xml:space="preserve">The PBOR rates are detailed in Table </w:t>
      </w:r>
      <w:r w:rsidR="00DF3065" w:rsidRPr="003B503D">
        <w:rPr>
          <w:rFonts w:eastAsia="Calibri" w:cs="Arial"/>
          <w:bCs/>
          <w:sz w:val="22"/>
        </w:rPr>
        <w:t>5 on the following page</w:t>
      </w:r>
      <w:r w:rsidRPr="003B503D">
        <w:rPr>
          <w:rFonts w:eastAsia="Calibri" w:cs="Arial"/>
          <w:bCs/>
          <w:sz w:val="22"/>
        </w:rPr>
        <w:t xml:space="preserve">. </w:t>
      </w:r>
    </w:p>
    <w:p w14:paraId="37405408" w14:textId="77777777" w:rsidR="00572548" w:rsidRPr="00EF32B1" w:rsidRDefault="00572548" w:rsidP="00EF32B1"/>
    <w:p w14:paraId="0DAB7501" w14:textId="06DC0D70" w:rsidR="00572548" w:rsidRPr="00DF3065" w:rsidRDefault="00572548" w:rsidP="00572548">
      <w:pPr>
        <w:keepNext/>
        <w:keepLines/>
        <w:spacing w:line="257" w:lineRule="auto"/>
        <w:jc w:val="both"/>
        <w:rPr>
          <w:rFonts w:eastAsia="Calibri" w:cs="Arial"/>
          <w:b/>
          <w:sz w:val="18"/>
          <w:szCs w:val="18"/>
        </w:rPr>
      </w:pPr>
      <w:r w:rsidRPr="00DF3065">
        <w:rPr>
          <w:rFonts w:eastAsia="Calibri" w:cs="Arial"/>
          <w:b/>
          <w:sz w:val="18"/>
          <w:szCs w:val="18"/>
        </w:rPr>
        <w:lastRenderedPageBreak/>
        <w:t>Table</w:t>
      </w:r>
      <w:r w:rsidR="00DF3065" w:rsidRPr="00DF3065">
        <w:rPr>
          <w:rFonts w:eastAsia="Calibri" w:cs="Arial"/>
          <w:b/>
          <w:sz w:val="18"/>
          <w:szCs w:val="18"/>
        </w:rPr>
        <w:t xml:space="preserve"> 5</w:t>
      </w:r>
      <w:r w:rsidRPr="00DF3065">
        <w:rPr>
          <w:rFonts w:eastAsia="Calibri" w:cs="Arial"/>
          <w:b/>
          <w:sz w:val="18"/>
          <w:szCs w:val="18"/>
        </w:rPr>
        <w:t>: PBOR for stays in Brisbane CBD</w:t>
      </w:r>
    </w:p>
    <w:tbl>
      <w:tblPr>
        <w:tblStyle w:val="TableGrid"/>
        <w:tblW w:w="0" w:type="auto"/>
        <w:tblInd w:w="0" w:type="dxa"/>
        <w:tblLook w:val="04A0" w:firstRow="1" w:lastRow="0" w:firstColumn="1" w:lastColumn="0" w:noHBand="0" w:noVBand="1"/>
      </w:tblPr>
      <w:tblGrid>
        <w:gridCol w:w="6806"/>
        <w:gridCol w:w="2210"/>
      </w:tblGrid>
      <w:tr w:rsidR="00572548" w:rsidRPr="00DF3065" w14:paraId="7C912D47" w14:textId="77777777" w:rsidTr="00CA1026">
        <w:tc>
          <w:tcPr>
            <w:tcW w:w="7083" w:type="dxa"/>
            <w:shd w:val="clear" w:color="auto" w:fill="9CC2E5" w:themeFill="accent1" w:themeFillTint="99"/>
          </w:tcPr>
          <w:p w14:paraId="05B46149" w14:textId="77777777" w:rsidR="00572548" w:rsidRPr="00DF3065" w:rsidRDefault="00572548" w:rsidP="00CA1026">
            <w:pPr>
              <w:keepNext/>
              <w:keepLines/>
              <w:spacing w:line="257" w:lineRule="auto"/>
              <w:jc w:val="both"/>
              <w:rPr>
                <w:rFonts w:eastAsia="Calibri" w:cs="Arial"/>
                <w:b/>
                <w:sz w:val="18"/>
                <w:szCs w:val="18"/>
              </w:rPr>
            </w:pPr>
            <w:r w:rsidRPr="00DF3065">
              <w:rPr>
                <w:rFonts w:eastAsia="Calibri" w:cs="Arial"/>
                <w:b/>
                <w:sz w:val="18"/>
                <w:szCs w:val="18"/>
              </w:rPr>
              <w:t>Circumstance</w:t>
            </w:r>
          </w:p>
        </w:tc>
        <w:tc>
          <w:tcPr>
            <w:tcW w:w="2267" w:type="dxa"/>
            <w:shd w:val="clear" w:color="auto" w:fill="9CC2E5" w:themeFill="accent1" w:themeFillTint="99"/>
          </w:tcPr>
          <w:p w14:paraId="7404F0A7" w14:textId="77777777" w:rsidR="00572548" w:rsidRPr="00DF3065" w:rsidRDefault="00572548" w:rsidP="00CA1026">
            <w:pPr>
              <w:keepNext/>
              <w:keepLines/>
              <w:spacing w:line="257" w:lineRule="auto"/>
              <w:jc w:val="both"/>
              <w:rPr>
                <w:rFonts w:eastAsia="Calibri" w:cs="Arial"/>
                <w:b/>
                <w:sz w:val="18"/>
                <w:szCs w:val="18"/>
              </w:rPr>
            </w:pPr>
            <w:r w:rsidRPr="00DF3065">
              <w:rPr>
                <w:rFonts w:eastAsia="Calibri" w:cs="Arial"/>
                <w:b/>
                <w:sz w:val="18"/>
                <w:szCs w:val="18"/>
              </w:rPr>
              <w:t>Amount</w:t>
            </w:r>
          </w:p>
        </w:tc>
      </w:tr>
      <w:tr w:rsidR="00572548" w:rsidRPr="00DF3065" w14:paraId="2DCFB5C4" w14:textId="77777777" w:rsidTr="00CA1026">
        <w:tc>
          <w:tcPr>
            <w:tcW w:w="7083" w:type="dxa"/>
          </w:tcPr>
          <w:p w14:paraId="6882EB4F" w14:textId="77777777" w:rsidR="00572548" w:rsidRPr="00DF3065" w:rsidRDefault="00572548" w:rsidP="00CA1026">
            <w:pPr>
              <w:keepNext/>
              <w:keepLines/>
              <w:spacing w:line="257" w:lineRule="auto"/>
              <w:jc w:val="both"/>
              <w:rPr>
                <w:rFonts w:eastAsia="Calibri" w:cs="Arial"/>
                <w:bCs/>
                <w:sz w:val="18"/>
                <w:szCs w:val="18"/>
              </w:rPr>
            </w:pPr>
            <w:r w:rsidRPr="00DF3065">
              <w:rPr>
                <w:rFonts w:eastAsia="Calibri" w:cs="Arial"/>
                <w:bCs/>
                <w:sz w:val="18"/>
                <w:szCs w:val="18"/>
              </w:rPr>
              <w:t>Members provided with overnight accommodation in the Parliamentary Annexe</w:t>
            </w:r>
          </w:p>
        </w:tc>
        <w:tc>
          <w:tcPr>
            <w:tcW w:w="2267" w:type="dxa"/>
          </w:tcPr>
          <w:p w14:paraId="018A32E9" w14:textId="77777777" w:rsidR="00572548" w:rsidRPr="00DF3065" w:rsidRDefault="00572548" w:rsidP="00CA1026">
            <w:pPr>
              <w:keepNext/>
              <w:keepLines/>
              <w:spacing w:line="257" w:lineRule="auto"/>
              <w:jc w:val="both"/>
              <w:rPr>
                <w:rFonts w:eastAsia="Calibri" w:cs="Arial"/>
                <w:bCs/>
                <w:sz w:val="18"/>
                <w:szCs w:val="18"/>
              </w:rPr>
            </w:pPr>
            <w:r w:rsidRPr="00DF3065">
              <w:rPr>
                <w:rFonts w:eastAsia="Calibri" w:cs="Arial"/>
                <w:bCs/>
                <w:sz w:val="18"/>
                <w:szCs w:val="18"/>
              </w:rPr>
              <w:t>$133.00 per day</w:t>
            </w:r>
          </w:p>
        </w:tc>
      </w:tr>
      <w:tr w:rsidR="00572548" w:rsidRPr="00DF3065" w14:paraId="4ED1D6AD" w14:textId="77777777" w:rsidTr="00CA1026">
        <w:tc>
          <w:tcPr>
            <w:tcW w:w="7083" w:type="dxa"/>
          </w:tcPr>
          <w:p w14:paraId="147CDE9F" w14:textId="75D915F9" w:rsidR="00572548" w:rsidRPr="00DF3065" w:rsidRDefault="00572548" w:rsidP="00CA1026">
            <w:pPr>
              <w:keepNext/>
              <w:keepLines/>
              <w:spacing w:line="257" w:lineRule="auto"/>
              <w:jc w:val="both"/>
              <w:rPr>
                <w:rFonts w:eastAsia="Calibri" w:cs="Arial"/>
                <w:bCs/>
                <w:sz w:val="18"/>
                <w:szCs w:val="18"/>
              </w:rPr>
            </w:pPr>
            <w:r w:rsidRPr="00DF3065">
              <w:rPr>
                <w:rFonts w:eastAsia="Calibri" w:cs="Arial"/>
                <w:bCs/>
                <w:sz w:val="18"/>
                <w:szCs w:val="18"/>
              </w:rPr>
              <w:t>Members representing Brisbane based electorates not provided with overnight accommodation in the Parliamentary Annexe who stay in commercial accommodation facilities for an overnight stay</w:t>
            </w:r>
          </w:p>
        </w:tc>
        <w:tc>
          <w:tcPr>
            <w:tcW w:w="2267" w:type="dxa"/>
          </w:tcPr>
          <w:p w14:paraId="15754481" w14:textId="77777777" w:rsidR="00572548" w:rsidRPr="00DF3065" w:rsidRDefault="00572548" w:rsidP="00CA1026">
            <w:pPr>
              <w:keepNext/>
              <w:keepLines/>
              <w:spacing w:line="257" w:lineRule="auto"/>
              <w:jc w:val="both"/>
              <w:rPr>
                <w:rFonts w:eastAsia="Calibri" w:cs="Arial"/>
                <w:bCs/>
                <w:sz w:val="18"/>
                <w:szCs w:val="18"/>
              </w:rPr>
            </w:pPr>
            <w:r w:rsidRPr="00DF3065">
              <w:rPr>
                <w:rFonts w:eastAsia="Calibri" w:cs="Arial"/>
                <w:bCs/>
                <w:sz w:val="18"/>
                <w:szCs w:val="18"/>
              </w:rPr>
              <w:t>$133.00per day</w:t>
            </w:r>
          </w:p>
        </w:tc>
      </w:tr>
      <w:tr w:rsidR="00572548" w:rsidRPr="00DF3065" w14:paraId="526590A3" w14:textId="77777777" w:rsidTr="00CA1026">
        <w:tc>
          <w:tcPr>
            <w:tcW w:w="7083" w:type="dxa"/>
          </w:tcPr>
          <w:p w14:paraId="632589D1" w14:textId="77777777" w:rsidR="00572548" w:rsidRPr="00DF3065" w:rsidRDefault="00572548" w:rsidP="00CA1026">
            <w:pPr>
              <w:keepNext/>
              <w:keepLines/>
              <w:spacing w:line="257" w:lineRule="auto"/>
              <w:jc w:val="both"/>
              <w:rPr>
                <w:rFonts w:eastAsia="Calibri" w:cs="Arial"/>
                <w:bCs/>
                <w:sz w:val="18"/>
                <w:szCs w:val="18"/>
              </w:rPr>
            </w:pPr>
            <w:r w:rsidRPr="00DF3065">
              <w:rPr>
                <w:rFonts w:eastAsia="Calibri" w:cs="Arial"/>
                <w:bCs/>
                <w:sz w:val="18"/>
                <w:szCs w:val="18"/>
              </w:rPr>
              <w:t>Other Members not provided with overnight accommodation in the Parliamentary Annexe who stay in commercial accommodation facilities for an overnight stay</w:t>
            </w:r>
          </w:p>
        </w:tc>
        <w:tc>
          <w:tcPr>
            <w:tcW w:w="2267" w:type="dxa"/>
          </w:tcPr>
          <w:p w14:paraId="32250CB7" w14:textId="77777777" w:rsidR="00572548" w:rsidRPr="00DF3065" w:rsidRDefault="00572548" w:rsidP="00CA1026">
            <w:pPr>
              <w:keepNext/>
              <w:keepLines/>
              <w:spacing w:line="257" w:lineRule="auto"/>
              <w:jc w:val="both"/>
              <w:rPr>
                <w:rFonts w:eastAsia="Calibri" w:cs="Arial"/>
                <w:bCs/>
                <w:sz w:val="18"/>
                <w:szCs w:val="18"/>
              </w:rPr>
            </w:pPr>
            <w:r w:rsidRPr="00DF3065">
              <w:rPr>
                <w:rFonts w:eastAsia="Calibri" w:cs="Arial"/>
                <w:bCs/>
                <w:sz w:val="18"/>
                <w:szCs w:val="18"/>
              </w:rPr>
              <w:t>$399.00 per day</w:t>
            </w:r>
          </w:p>
        </w:tc>
      </w:tr>
    </w:tbl>
    <w:p w14:paraId="473BA7ED" w14:textId="78973244" w:rsidR="00572548" w:rsidRPr="00816804" w:rsidRDefault="00572548" w:rsidP="005A4E95">
      <w:pPr>
        <w:spacing w:before="160" w:after="160"/>
        <w:jc w:val="both"/>
        <w:rPr>
          <w:rFonts w:eastAsia="Calibri" w:cs="Arial"/>
          <w:bCs/>
          <w:sz w:val="22"/>
        </w:rPr>
      </w:pPr>
      <w:r w:rsidRPr="00816804">
        <w:rPr>
          <w:rFonts w:eastAsia="Calibri" w:cs="Arial"/>
          <w:bCs/>
          <w:sz w:val="22"/>
        </w:rPr>
        <w:t xml:space="preserve">The DTA and PBOR </w:t>
      </w:r>
      <w:r w:rsidR="00816804" w:rsidRPr="00816804">
        <w:rPr>
          <w:rFonts w:eastAsia="Calibri" w:cs="Arial"/>
          <w:bCs/>
          <w:sz w:val="22"/>
        </w:rPr>
        <w:t>amounts</w:t>
      </w:r>
      <w:r w:rsidRPr="00816804">
        <w:rPr>
          <w:rFonts w:eastAsia="Calibri" w:cs="Arial"/>
          <w:bCs/>
          <w:sz w:val="22"/>
        </w:rPr>
        <w:t xml:space="preserve"> were last amended by the Tribunal in Determination 21/2020, based generally on the </w:t>
      </w:r>
      <w:r w:rsidR="00816804" w:rsidRPr="00816804">
        <w:rPr>
          <w:rFonts w:eastAsia="Calibri" w:cs="Arial"/>
          <w:bCs/>
          <w:sz w:val="22"/>
        </w:rPr>
        <w:t xml:space="preserve">ATO </w:t>
      </w:r>
      <w:r w:rsidRPr="00816804">
        <w:rPr>
          <w:rFonts w:eastAsia="Calibri" w:cs="Arial"/>
          <w:bCs/>
          <w:sz w:val="22"/>
        </w:rPr>
        <w:t xml:space="preserve">allowances detailed in Taxation Determination </w:t>
      </w:r>
      <w:r w:rsidR="00816804" w:rsidRPr="00816804">
        <w:rPr>
          <w:rFonts w:eastAsia="Calibri" w:cs="Arial"/>
          <w:bCs/>
          <w:sz w:val="22"/>
        </w:rPr>
        <w:t xml:space="preserve">TD </w:t>
      </w:r>
      <w:r w:rsidRPr="00816804">
        <w:rPr>
          <w:rFonts w:eastAsia="Calibri" w:cs="Arial"/>
          <w:bCs/>
          <w:sz w:val="22"/>
        </w:rPr>
        <w:t xml:space="preserve">2019/11. </w:t>
      </w:r>
    </w:p>
    <w:p w14:paraId="727422DD" w14:textId="7D6C1EF6" w:rsidR="00572548" w:rsidRPr="00816804" w:rsidRDefault="00572548" w:rsidP="00572548">
      <w:pPr>
        <w:spacing w:after="160"/>
        <w:jc w:val="both"/>
        <w:rPr>
          <w:rFonts w:eastAsia="Calibri" w:cs="Arial"/>
          <w:bCs/>
          <w:sz w:val="22"/>
        </w:rPr>
      </w:pPr>
      <w:r w:rsidRPr="00816804">
        <w:rPr>
          <w:rFonts w:eastAsia="Calibri" w:cs="Arial"/>
          <w:bCs/>
          <w:sz w:val="22"/>
        </w:rPr>
        <w:t>TD 2022/10</w:t>
      </w:r>
      <w:r w:rsidRPr="00816804">
        <w:rPr>
          <w:rStyle w:val="FootnoteReference"/>
          <w:rFonts w:eastAsia="Calibri" w:cs="Arial"/>
          <w:bCs/>
          <w:sz w:val="22"/>
        </w:rPr>
        <w:footnoteReference w:id="4"/>
      </w:r>
      <w:r w:rsidRPr="00816804">
        <w:rPr>
          <w:rFonts w:eastAsia="Calibri" w:cs="Arial"/>
          <w:bCs/>
          <w:sz w:val="22"/>
        </w:rPr>
        <w:t xml:space="preserve"> is the current ATO </w:t>
      </w:r>
      <w:r w:rsidR="00816804" w:rsidRPr="00816804">
        <w:rPr>
          <w:rFonts w:eastAsia="Calibri" w:cs="Arial"/>
          <w:bCs/>
          <w:sz w:val="22"/>
        </w:rPr>
        <w:t>t</w:t>
      </w:r>
      <w:r w:rsidRPr="00816804">
        <w:rPr>
          <w:rFonts w:eastAsia="Calibri" w:cs="Arial"/>
          <w:bCs/>
          <w:sz w:val="22"/>
        </w:rPr>
        <w:t xml:space="preserve">axation determination that applies to the 2022-23 income year with </w:t>
      </w:r>
      <w:r w:rsidR="00816804" w:rsidRPr="00816804">
        <w:rPr>
          <w:rFonts w:eastAsia="Calibri" w:cs="Arial"/>
          <w:bCs/>
          <w:sz w:val="22"/>
        </w:rPr>
        <w:t>amounts of allowances for overnight stays</w:t>
      </w:r>
      <w:r w:rsidRPr="00816804">
        <w:rPr>
          <w:rFonts w:eastAsia="Calibri" w:cs="Arial"/>
          <w:bCs/>
          <w:sz w:val="22"/>
        </w:rPr>
        <w:t xml:space="preserve"> at a higher rate than those currently provided to members. The Tribunal has received advice that the cost for travel to High Cost Country Centres (Other domestic destinations) has increased due to significant increases in commercial accommodation prices. </w:t>
      </w:r>
    </w:p>
    <w:p w14:paraId="38843C5A" w14:textId="37ECC30C" w:rsidR="00572548" w:rsidRPr="00816804" w:rsidRDefault="00906A02" w:rsidP="00572548">
      <w:pPr>
        <w:spacing w:after="160"/>
        <w:jc w:val="both"/>
        <w:rPr>
          <w:rFonts w:eastAsia="Calibri" w:cs="Arial"/>
          <w:bCs/>
          <w:sz w:val="22"/>
        </w:rPr>
      </w:pPr>
      <w:r>
        <w:rPr>
          <w:rFonts w:eastAsia="Calibri" w:cs="Arial"/>
          <w:bCs/>
          <w:sz w:val="22"/>
        </w:rPr>
        <w:t>The</w:t>
      </w:r>
      <w:r w:rsidR="00572548" w:rsidRPr="00816804">
        <w:rPr>
          <w:rFonts w:eastAsia="Calibri" w:cs="Arial"/>
          <w:bCs/>
          <w:sz w:val="22"/>
        </w:rPr>
        <w:t xml:space="preserve"> Tribunal has decided to increase the DTA and PBOR rates as follow</w:t>
      </w:r>
      <w:r w:rsidR="005A4E95" w:rsidRPr="00816804">
        <w:rPr>
          <w:rFonts w:eastAsia="Calibri" w:cs="Arial"/>
          <w:bCs/>
          <w:sz w:val="22"/>
        </w:rPr>
        <w:t>s</w:t>
      </w:r>
      <w:r w:rsidR="00572548" w:rsidRPr="00816804">
        <w:rPr>
          <w:rFonts w:eastAsia="Calibri" w:cs="Arial"/>
          <w:bCs/>
          <w:sz w:val="22"/>
        </w:rPr>
        <w:t xml:space="preserve">: </w:t>
      </w:r>
    </w:p>
    <w:p w14:paraId="5E959EC3" w14:textId="33985EF6" w:rsidR="00572548" w:rsidRPr="00816804" w:rsidRDefault="00572548" w:rsidP="00572548">
      <w:pPr>
        <w:jc w:val="both"/>
        <w:rPr>
          <w:rFonts w:eastAsia="Calibri" w:cs="Arial"/>
          <w:b/>
          <w:sz w:val="18"/>
          <w:szCs w:val="18"/>
        </w:rPr>
      </w:pPr>
      <w:r>
        <w:rPr>
          <w:rFonts w:eastAsia="Calibri" w:cs="Arial"/>
          <w:bCs/>
        </w:rPr>
        <w:t xml:space="preserve"> </w:t>
      </w:r>
      <w:r w:rsidRPr="00816804">
        <w:rPr>
          <w:rFonts w:eastAsia="Calibri" w:cs="Arial"/>
          <w:b/>
          <w:sz w:val="18"/>
          <w:szCs w:val="18"/>
        </w:rPr>
        <w:t xml:space="preserve">Table </w:t>
      </w:r>
      <w:r w:rsidR="00816804" w:rsidRPr="00816804">
        <w:rPr>
          <w:rFonts w:eastAsia="Calibri" w:cs="Arial"/>
          <w:b/>
          <w:sz w:val="18"/>
          <w:szCs w:val="18"/>
        </w:rPr>
        <w:t>6</w:t>
      </w:r>
      <w:r w:rsidRPr="00816804">
        <w:rPr>
          <w:rFonts w:eastAsia="Calibri" w:cs="Arial"/>
          <w:b/>
          <w:sz w:val="18"/>
          <w:szCs w:val="18"/>
        </w:rPr>
        <w:t>: DTA rates</w:t>
      </w:r>
    </w:p>
    <w:tbl>
      <w:tblPr>
        <w:tblStyle w:val="TableGrid"/>
        <w:tblW w:w="9067" w:type="dxa"/>
        <w:tblInd w:w="0" w:type="dxa"/>
        <w:tblLook w:val="04A0" w:firstRow="1" w:lastRow="0" w:firstColumn="1" w:lastColumn="0" w:noHBand="0" w:noVBand="1"/>
      </w:tblPr>
      <w:tblGrid>
        <w:gridCol w:w="5240"/>
        <w:gridCol w:w="1843"/>
        <w:gridCol w:w="1984"/>
      </w:tblGrid>
      <w:tr w:rsidR="00572548" w:rsidRPr="00816804" w14:paraId="3CAB2FAB" w14:textId="18B079C7" w:rsidTr="00AE7218">
        <w:tc>
          <w:tcPr>
            <w:tcW w:w="5240" w:type="dxa"/>
            <w:shd w:val="clear" w:color="auto" w:fill="9CC2E5" w:themeFill="accent1" w:themeFillTint="99"/>
          </w:tcPr>
          <w:p w14:paraId="2CF884E5" w14:textId="77777777" w:rsidR="00572548" w:rsidRPr="00816804" w:rsidRDefault="00572548" w:rsidP="00CA1026">
            <w:pPr>
              <w:keepNext/>
              <w:keepLines/>
              <w:spacing w:line="276" w:lineRule="auto"/>
              <w:jc w:val="both"/>
              <w:rPr>
                <w:rFonts w:eastAsia="Calibri" w:cs="Arial"/>
                <w:b/>
                <w:sz w:val="18"/>
                <w:szCs w:val="18"/>
              </w:rPr>
            </w:pPr>
            <w:r w:rsidRPr="00816804">
              <w:rPr>
                <w:rFonts w:eastAsia="Calibri" w:cs="Arial"/>
                <w:b/>
                <w:sz w:val="18"/>
                <w:szCs w:val="18"/>
              </w:rPr>
              <w:t>Location of overnight stay</w:t>
            </w:r>
          </w:p>
        </w:tc>
        <w:tc>
          <w:tcPr>
            <w:tcW w:w="1843" w:type="dxa"/>
            <w:shd w:val="clear" w:color="auto" w:fill="9CC2E5" w:themeFill="accent1" w:themeFillTint="99"/>
          </w:tcPr>
          <w:p w14:paraId="550F07CD" w14:textId="6BCFA0D3" w:rsidR="00572548" w:rsidRPr="00816804" w:rsidRDefault="00572548" w:rsidP="00CA1026">
            <w:pPr>
              <w:keepNext/>
              <w:keepLines/>
              <w:spacing w:line="276" w:lineRule="auto"/>
              <w:jc w:val="both"/>
              <w:rPr>
                <w:rFonts w:eastAsia="Calibri" w:cs="Arial"/>
                <w:b/>
                <w:sz w:val="18"/>
                <w:szCs w:val="18"/>
              </w:rPr>
            </w:pPr>
            <w:r w:rsidRPr="00816804">
              <w:rPr>
                <w:rFonts w:eastAsia="Calibri" w:cs="Arial"/>
                <w:b/>
                <w:sz w:val="18"/>
                <w:szCs w:val="18"/>
              </w:rPr>
              <w:t>Current Amount</w:t>
            </w:r>
          </w:p>
        </w:tc>
        <w:tc>
          <w:tcPr>
            <w:tcW w:w="1984" w:type="dxa"/>
            <w:shd w:val="clear" w:color="auto" w:fill="9CC2E5" w:themeFill="accent1" w:themeFillTint="99"/>
          </w:tcPr>
          <w:p w14:paraId="453C8389" w14:textId="509FF992" w:rsidR="00572548" w:rsidRPr="00816804" w:rsidRDefault="00572548" w:rsidP="00CA1026">
            <w:pPr>
              <w:keepNext/>
              <w:keepLines/>
              <w:spacing w:line="276" w:lineRule="auto"/>
              <w:jc w:val="both"/>
              <w:rPr>
                <w:rFonts w:eastAsia="Calibri" w:cs="Arial"/>
                <w:b/>
                <w:sz w:val="18"/>
                <w:szCs w:val="18"/>
              </w:rPr>
            </w:pPr>
            <w:r w:rsidRPr="00816804">
              <w:rPr>
                <w:rFonts w:eastAsia="Calibri" w:cs="Arial"/>
                <w:b/>
                <w:sz w:val="18"/>
                <w:szCs w:val="18"/>
              </w:rPr>
              <w:t>New Amount</w:t>
            </w:r>
          </w:p>
        </w:tc>
      </w:tr>
      <w:tr w:rsidR="00572548" w:rsidRPr="00816804" w14:paraId="45640FD7" w14:textId="3D8EFA1C" w:rsidTr="00AE7218">
        <w:tc>
          <w:tcPr>
            <w:tcW w:w="5240" w:type="dxa"/>
          </w:tcPr>
          <w:p w14:paraId="0E50980E" w14:textId="0E23ADF6" w:rsidR="00572548" w:rsidRPr="00816804" w:rsidRDefault="00572548" w:rsidP="00CA1026">
            <w:pPr>
              <w:jc w:val="both"/>
              <w:rPr>
                <w:rFonts w:eastAsia="Calibri" w:cs="Arial"/>
                <w:bCs/>
                <w:sz w:val="18"/>
                <w:szCs w:val="18"/>
              </w:rPr>
            </w:pPr>
            <w:r w:rsidRPr="00816804">
              <w:rPr>
                <w:rFonts w:eastAsia="Calibri" w:cs="Arial"/>
                <w:bCs/>
                <w:sz w:val="18"/>
                <w:szCs w:val="18"/>
              </w:rPr>
              <w:t>State and Territory capital cities within Australia as well as Wellington (N</w:t>
            </w:r>
            <w:r w:rsidR="002C239F">
              <w:rPr>
                <w:rFonts w:eastAsia="Calibri" w:cs="Arial"/>
                <w:bCs/>
                <w:sz w:val="18"/>
                <w:szCs w:val="18"/>
              </w:rPr>
              <w:t>ew Zealand</w:t>
            </w:r>
            <w:r w:rsidRPr="00816804">
              <w:rPr>
                <w:rFonts w:eastAsia="Calibri" w:cs="Arial"/>
                <w:bCs/>
                <w:sz w:val="18"/>
                <w:szCs w:val="18"/>
              </w:rPr>
              <w:t>) and Port Moresby (P</w:t>
            </w:r>
            <w:r w:rsidR="002C239F">
              <w:rPr>
                <w:rFonts w:eastAsia="Calibri" w:cs="Arial"/>
                <w:bCs/>
                <w:sz w:val="18"/>
                <w:szCs w:val="18"/>
              </w:rPr>
              <w:t>apua New Guinea</w:t>
            </w:r>
            <w:r w:rsidRPr="00816804">
              <w:rPr>
                <w:rFonts w:eastAsia="Calibri" w:cs="Arial"/>
                <w:bCs/>
                <w:sz w:val="18"/>
                <w:szCs w:val="18"/>
              </w:rPr>
              <w:t>)</w:t>
            </w:r>
          </w:p>
        </w:tc>
        <w:tc>
          <w:tcPr>
            <w:tcW w:w="1843" w:type="dxa"/>
          </w:tcPr>
          <w:p w14:paraId="44E5F7E6" w14:textId="77777777" w:rsidR="00572548" w:rsidRPr="00816804" w:rsidRDefault="00572548" w:rsidP="00CA1026">
            <w:pPr>
              <w:jc w:val="both"/>
              <w:rPr>
                <w:rFonts w:eastAsia="Calibri" w:cs="Arial"/>
                <w:bCs/>
                <w:sz w:val="18"/>
                <w:szCs w:val="18"/>
              </w:rPr>
            </w:pPr>
            <w:r w:rsidRPr="00816804">
              <w:rPr>
                <w:rFonts w:eastAsia="Calibri" w:cs="Arial"/>
                <w:bCs/>
                <w:sz w:val="18"/>
                <w:szCs w:val="18"/>
              </w:rPr>
              <w:t>$399.00 per day</w:t>
            </w:r>
          </w:p>
        </w:tc>
        <w:tc>
          <w:tcPr>
            <w:tcW w:w="1984" w:type="dxa"/>
          </w:tcPr>
          <w:p w14:paraId="311DC7C2" w14:textId="6CEBBA44" w:rsidR="00572548" w:rsidRPr="00816804" w:rsidRDefault="00572548" w:rsidP="00CA1026">
            <w:pPr>
              <w:jc w:val="both"/>
              <w:rPr>
                <w:rFonts w:eastAsia="Calibri" w:cs="Arial"/>
                <w:bCs/>
                <w:sz w:val="18"/>
                <w:szCs w:val="18"/>
              </w:rPr>
            </w:pPr>
            <w:r w:rsidRPr="00816804">
              <w:rPr>
                <w:rFonts w:eastAsia="Calibri" w:cs="Arial"/>
                <w:bCs/>
                <w:sz w:val="18"/>
                <w:szCs w:val="18"/>
              </w:rPr>
              <w:t>$416.00 per day</w:t>
            </w:r>
          </w:p>
        </w:tc>
      </w:tr>
      <w:tr w:rsidR="00572548" w:rsidRPr="00816804" w14:paraId="65C5CAE6" w14:textId="5E85312C" w:rsidTr="00AE7218">
        <w:tc>
          <w:tcPr>
            <w:tcW w:w="5240" w:type="dxa"/>
          </w:tcPr>
          <w:p w14:paraId="2AC08A6A" w14:textId="77777777" w:rsidR="00572548" w:rsidRPr="00816804" w:rsidRDefault="00572548" w:rsidP="00CA1026">
            <w:pPr>
              <w:jc w:val="both"/>
              <w:rPr>
                <w:rFonts w:eastAsia="Calibri" w:cs="Arial"/>
                <w:bCs/>
                <w:sz w:val="18"/>
                <w:szCs w:val="18"/>
              </w:rPr>
            </w:pPr>
            <w:r w:rsidRPr="00816804">
              <w:rPr>
                <w:rFonts w:eastAsia="Calibri" w:cs="Arial"/>
                <w:bCs/>
                <w:sz w:val="18"/>
                <w:szCs w:val="18"/>
              </w:rPr>
              <w:t>All other destinations</w:t>
            </w:r>
          </w:p>
        </w:tc>
        <w:tc>
          <w:tcPr>
            <w:tcW w:w="1843" w:type="dxa"/>
          </w:tcPr>
          <w:p w14:paraId="378AE025" w14:textId="77777777" w:rsidR="00572548" w:rsidRPr="00816804" w:rsidRDefault="00572548" w:rsidP="00CA1026">
            <w:pPr>
              <w:jc w:val="both"/>
              <w:rPr>
                <w:rFonts w:eastAsia="Calibri" w:cs="Arial"/>
                <w:bCs/>
                <w:sz w:val="18"/>
                <w:szCs w:val="18"/>
              </w:rPr>
            </w:pPr>
            <w:r w:rsidRPr="00816804">
              <w:rPr>
                <w:rFonts w:eastAsia="Calibri" w:cs="Arial"/>
                <w:bCs/>
                <w:sz w:val="18"/>
                <w:szCs w:val="18"/>
              </w:rPr>
              <w:t>$284.00 per day</w:t>
            </w:r>
          </w:p>
        </w:tc>
        <w:tc>
          <w:tcPr>
            <w:tcW w:w="1984" w:type="dxa"/>
          </w:tcPr>
          <w:p w14:paraId="36BC3AB4" w14:textId="27C946E4" w:rsidR="00572548" w:rsidRPr="00816804" w:rsidRDefault="00572548" w:rsidP="00CA1026">
            <w:pPr>
              <w:jc w:val="both"/>
              <w:rPr>
                <w:rFonts w:eastAsia="Calibri" w:cs="Arial"/>
                <w:bCs/>
                <w:sz w:val="18"/>
                <w:szCs w:val="18"/>
              </w:rPr>
            </w:pPr>
            <w:r w:rsidRPr="00816804">
              <w:rPr>
                <w:rFonts w:eastAsia="Calibri" w:cs="Arial"/>
                <w:bCs/>
                <w:sz w:val="18"/>
                <w:szCs w:val="18"/>
              </w:rPr>
              <w:t>$330.00 per day</w:t>
            </w:r>
          </w:p>
        </w:tc>
      </w:tr>
    </w:tbl>
    <w:p w14:paraId="7005C320" w14:textId="18414590" w:rsidR="00572548" w:rsidRPr="00816804" w:rsidRDefault="00816804" w:rsidP="005A4E95">
      <w:pPr>
        <w:spacing w:after="160"/>
        <w:jc w:val="both"/>
        <w:rPr>
          <w:rFonts w:eastAsia="Calibri" w:cs="Arial"/>
          <w:bCs/>
          <w:i/>
          <w:iCs/>
          <w:sz w:val="18"/>
          <w:szCs w:val="18"/>
        </w:rPr>
      </w:pPr>
      <w:r>
        <w:rPr>
          <w:rFonts w:eastAsia="Calibri" w:cs="Arial"/>
          <w:bCs/>
          <w:sz w:val="18"/>
          <w:szCs w:val="18"/>
        </w:rPr>
        <w:t>Note:</w:t>
      </w:r>
      <w:r w:rsidR="00572548" w:rsidRPr="00816804">
        <w:rPr>
          <w:rFonts w:eastAsia="Calibri" w:cs="Arial"/>
          <w:bCs/>
          <w:i/>
          <w:iCs/>
          <w:sz w:val="18"/>
          <w:szCs w:val="18"/>
        </w:rPr>
        <w:t xml:space="preserve"> </w:t>
      </w:r>
      <w:r w:rsidR="00572548" w:rsidRPr="00816804">
        <w:rPr>
          <w:rFonts w:eastAsia="Calibri" w:cs="Arial"/>
          <w:bCs/>
          <w:sz w:val="18"/>
          <w:szCs w:val="18"/>
        </w:rPr>
        <w:t>Where a member is provided with complimentary accommodation or stays with relatives or friends a DTA rate of 1/3</w:t>
      </w:r>
      <w:r w:rsidR="00572548" w:rsidRPr="00816804">
        <w:rPr>
          <w:rFonts w:eastAsia="Calibri" w:cs="Arial"/>
          <w:bCs/>
          <w:sz w:val="18"/>
          <w:szCs w:val="18"/>
          <w:vertAlign w:val="superscript"/>
        </w:rPr>
        <w:t>rd</w:t>
      </w:r>
      <w:r w:rsidR="00572548" w:rsidRPr="00816804">
        <w:rPr>
          <w:rFonts w:eastAsia="Calibri" w:cs="Arial"/>
          <w:bCs/>
          <w:sz w:val="18"/>
          <w:szCs w:val="18"/>
        </w:rPr>
        <w:t xml:space="preserve"> of the full rate applies.</w:t>
      </w:r>
      <w:r w:rsidR="00572548" w:rsidRPr="00816804">
        <w:rPr>
          <w:rFonts w:eastAsia="Calibri" w:cs="Arial"/>
          <w:bCs/>
          <w:i/>
          <w:iCs/>
          <w:sz w:val="18"/>
          <w:szCs w:val="18"/>
        </w:rPr>
        <w:t xml:space="preserve"> </w:t>
      </w:r>
    </w:p>
    <w:p w14:paraId="34EB8F98" w14:textId="7F7B6A3E" w:rsidR="00572548" w:rsidRPr="006C5DB1" w:rsidRDefault="00572548" w:rsidP="00572548">
      <w:pPr>
        <w:keepNext/>
        <w:keepLines/>
        <w:spacing w:line="257" w:lineRule="auto"/>
        <w:jc w:val="both"/>
        <w:rPr>
          <w:rFonts w:eastAsia="Calibri" w:cs="Arial"/>
          <w:b/>
          <w:sz w:val="18"/>
          <w:szCs w:val="18"/>
        </w:rPr>
      </w:pPr>
      <w:r w:rsidRPr="006C5DB1">
        <w:rPr>
          <w:rFonts w:eastAsia="Calibri" w:cs="Arial"/>
          <w:b/>
          <w:sz w:val="18"/>
          <w:szCs w:val="18"/>
        </w:rPr>
        <w:t xml:space="preserve">Table </w:t>
      </w:r>
      <w:r w:rsidR="00816804" w:rsidRPr="006C5DB1">
        <w:rPr>
          <w:rFonts w:eastAsia="Calibri" w:cs="Arial"/>
          <w:b/>
          <w:sz w:val="18"/>
          <w:szCs w:val="18"/>
        </w:rPr>
        <w:t>7</w:t>
      </w:r>
      <w:r w:rsidRPr="006C5DB1">
        <w:rPr>
          <w:rFonts w:eastAsia="Calibri" w:cs="Arial"/>
          <w:b/>
          <w:sz w:val="18"/>
          <w:szCs w:val="18"/>
        </w:rPr>
        <w:t xml:space="preserve">: PBOR </w:t>
      </w:r>
      <w:r w:rsidR="005A4E95" w:rsidRPr="006C5DB1">
        <w:rPr>
          <w:rFonts w:eastAsia="Calibri" w:cs="Arial"/>
          <w:b/>
          <w:sz w:val="18"/>
          <w:szCs w:val="18"/>
        </w:rPr>
        <w:t>rates</w:t>
      </w:r>
    </w:p>
    <w:tbl>
      <w:tblPr>
        <w:tblStyle w:val="TableGrid"/>
        <w:tblW w:w="0" w:type="auto"/>
        <w:tblInd w:w="0" w:type="dxa"/>
        <w:tblLook w:val="04A0" w:firstRow="1" w:lastRow="0" w:firstColumn="1" w:lastColumn="0" w:noHBand="0" w:noVBand="1"/>
      </w:tblPr>
      <w:tblGrid>
        <w:gridCol w:w="5126"/>
        <w:gridCol w:w="1961"/>
        <w:gridCol w:w="1929"/>
      </w:tblGrid>
      <w:tr w:rsidR="00572548" w:rsidRPr="006C5DB1" w14:paraId="0085D658" w14:textId="49FF35AF" w:rsidTr="00572548">
        <w:tc>
          <w:tcPr>
            <w:tcW w:w="5126" w:type="dxa"/>
            <w:shd w:val="clear" w:color="auto" w:fill="9CC2E5" w:themeFill="accent1" w:themeFillTint="99"/>
          </w:tcPr>
          <w:p w14:paraId="4BF094F5" w14:textId="77777777" w:rsidR="00572548" w:rsidRPr="006C5DB1" w:rsidRDefault="00572548" w:rsidP="00CA1026">
            <w:pPr>
              <w:keepNext/>
              <w:keepLines/>
              <w:spacing w:line="257" w:lineRule="auto"/>
              <w:jc w:val="both"/>
              <w:rPr>
                <w:rFonts w:eastAsia="Calibri" w:cs="Arial"/>
                <w:b/>
                <w:sz w:val="18"/>
                <w:szCs w:val="18"/>
              </w:rPr>
            </w:pPr>
            <w:r w:rsidRPr="006C5DB1">
              <w:rPr>
                <w:rFonts w:eastAsia="Calibri" w:cs="Arial"/>
                <w:b/>
                <w:sz w:val="18"/>
                <w:szCs w:val="18"/>
              </w:rPr>
              <w:t>Circumstance</w:t>
            </w:r>
          </w:p>
        </w:tc>
        <w:tc>
          <w:tcPr>
            <w:tcW w:w="1961" w:type="dxa"/>
            <w:shd w:val="clear" w:color="auto" w:fill="9CC2E5" w:themeFill="accent1" w:themeFillTint="99"/>
          </w:tcPr>
          <w:p w14:paraId="678F5391" w14:textId="192C3C6D" w:rsidR="00572548" w:rsidRPr="006C5DB1" w:rsidRDefault="00572548" w:rsidP="00CA1026">
            <w:pPr>
              <w:keepNext/>
              <w:keepLines/>
              <w:spacing w:line="257" w:lineRule="auto"/>
              <w:jc w:val="both"/>
              <w:rPr>
                <w:rFonts w:eastAsia="Calibri" w:cs="Arial"/>
                <w:b/>
                <w:sz w:val="18"/>
                <w:szCs w:val="18"/>
              </w:rPr>
            </w:pPr>
            <w:r w:rsidRPr="006C5DB1">
              <w:rPr>
                <w:rFonts w:eastAsia="Calibri" w:cs="Arial"/>
                <w:b/>
                <w:sz w:val="18"/>
                <w:szCs w:val="18"/>
              </w:rPr>
              <w:t>Current Amount</w:t>
            </w:r>
          </w:p>
        </w:tc>
        <w:tc>
          <w:tcPr>
            <w:tcW w:w="1929" w:type="dxa"/>
            <w:shd w:val="clear" w:color="auto" w:fill="9CC2E5" w:themeFill="accent1" w:themeFillTint="99"/>
          </w:tcPr>
          <w:p w14:paraId="5EBB53D0" w14:textId="7FB6F7E3" w:rsidR="00572548" w:rsidRPr="006C5DB1" w:rsidRDefault="00572548" w:rsidP="00CA1026">
            <w:pPr>
              <w:keepNext/>
              <w:keepLines/>
              <w:spacing w:line="257" w:lineRule="auto"/>
              <w:jc w:val="both"/>
              <w:rPr>
                <w:rFonts w:eastAsia="Calibri" w:cs="Arial"/>
                <w:b/>
                <w:sz w:val="18"/>
                <w:szCs w:val="18"/>
              </w:rPr>
            </w:pPr>
            <w:r w:rsidRPr="006C5DB1">
              <w:rPr>
                <w:rFonts w:eastAsia="Calibri" w:cs="Arial"/>
                <w:b/>
                <w:sz w:val="18"/>
                <w:szCs w:val="18"/>
              </w:rPr>
              <w:t>New Amount</w:t>
            </w:r>
          </w:p>
        </w:tc>
      </w:tr>
      <w:tr w:rsidR="00572548" w:rsidRPr="006C5DB1" w14:paraId="2DCD3946" w14:textId="538B3937" w:rsidTr="00572548">
        <w:tc>
          <w:tcPr>
            <w:tcW w:w="5126" w:type="dxa"/>
          </w:tcPr>
          <w:p w14:paraId="297C9A54" w14:textId="77777777" w:rsidR="00572548" w:rsidRPr="006C5DB1" w:rsidRDefault="00572548" w:rsidP="00CA1026">
            <w:pPr>
              <w:keepNext/>
              <w:keepLines/>
              <w:spacing w:line="257" w:lineRule="auto"/>
              <w:jc w:val="both"/>
              <w:rPr>
                <w:rFonts w:eastAsia="Calibri" w:cs="Arial"/>
                <w:bCs/>
                <w:sz w:val="18"/>
                <w:szCs w:val="18"/>
              </w:rPr>
            </w:pPr>
            <w:r w:rsidRPr="006C5DB1">
              <w:rPr>
                <w:rFonts w:eastAsia="Calibri" w:cs="Arial"/>
                <w:bCs/>
                <w:sz w:val="18"/>
                <w:szCs w:val="18"/>
              </w:rPr>
              <w:t>Members provided with overnight accommodation in the Parliamentary Annexe</w:t>
            </w:r>
          </w:p>
        </w:tc>
        <w:tc>
          <w:tcPr>
            <w:tcW w:w="1961" w:type="dxa"/>
          </w:tcPr>
          <w:p w14:paraId="2C395060" w14:textId="77777777" w:rsidR="00572548" w:rsidRPr="006C5DB1" w:rsidRDefault="00572548" w:rsidP="00CA1026">
            <w:pPr>
              <w:keepNext/>
              <w:keepLines/>
              <w:spacing w:line="257" w:lineRule="auto"/>
              <w:jc w:val="both"/>
              <w:rPr>
                <w:rFonts w:eastAsia="Calibri" w:cs="Arial"/>
                <w:bCs/>
                <w:sz w:val="18"/>
                <w:szCs w:val="18"/>
              </w:rPr>
            </w:pPr>
            <w:r w:rsidRPr="006C5DB1">
              <w:rPr>
                <w:rFonts w:eastAsia="Calibri" w:cs="Arial"/>
                <w:bCs/>
                <w:sz w:val="18"/>
                <w:szCs w:val="18"/>
              </w:rPr>
              <w:t>$133.00 per day</w:t>
            </w:r>
          </w:p>
        </w:tc>
        <w:tc>
          <w:tcPr>
            <w:tcW w:w="1929" w:type="dxa"/>
          </w:tcPr>
          <w:p w14:paraId="1F1EC6FA" w14:textId="5A3C7B6D" w:rsidR="00572548" w:rsidRPr="006C5DB1" w:rsidRDefault="00572548" w:rsidP="00CA1026">
            <w:pPr>
              <w:keepNext/>
              <w:keepLines/>
              <w:spacing w:line="257" w:lineRule="auto"/>
              <w:jc w:val="both"/>
              <w:rPr>
                <w:rFonts w:eastAsia="Calibri" w:cs="Arial"/>
                <w:bCs/>
                <w:sz w:val="18"/>
                <w:szCs w:val="18"/>
              </w:rPr>
            </w:pPr>
            <w:r w:rsidRPr="006C5DB1">
              <w:rPr>
                <w:rFonts w:eastAsia="Calibri" w:cs="Arial"/>
                <w:bCs/>
                <w:sz w:val="18"/>
                <w:szCs w:val="18"/>
              </w:rPr>
              <w:t>$139.00 per day</w:t>
            </w:r>
          </w:p>
        </w:tc>
      </w:tr>
      <w:tr w:rsidR="00572548" w:rsidRPr="006C5DB1" w14:paraId="5618668E" w14:textId="7AC4300C" w:rsidTr="00572548">
        <w:tc>
          <w:tcPr>
            <w:tcW w:w="5126" w:type="dxa"/>
          </w:tcPr>
          <w:p w14:paraId="351AEBB7" w14:textId="5116E196" w:rsidR="00572548" w:rsidRPr="006C5DB1" w:rsidRDefault="00572548" w:rsidP="00CA1026">
            <w:pPr>
              <w:keepNext/>
              <w:keepLines/>
              <w:spacing w:line="257" w:lineRule="auto"/>
              <w:jc w:val="both"/>
              <w:rPr>
                <w:rFonts w:eastAsia="Calibri" w:cs="Arial"/>
                <w:bCs/>
                <w:sz w:val="18"/>
                <w:szCs w:val="18"/>
              </w:rPr>
            </w:pPr>
            <w:r w:rsidRPr="006C5DB1">
              <w:rPr>
                <w:rFonts w:eastAsia="Calibri" w:cs="Arial"/>
                <w:bCs/>
                <w:sz w:val="18"/>
                <w:szCs w:val="18"/>
              </w:rPr>
              <w:t>Members representing Brisbane based electorates  not provided with overnight accommodation in the Parliamentary Annexe who stay in commercial accommodation facilities for an overnight stay</w:t>
            </w:r>
          </w:p>
        </w:tc>
        <w:tc>
          <w:tcPr>
            <w:tcW w:w="1961" w:type="dxa"/>
          </w:tcPr>
          <w:p w14:paraId="64D18CEE" w14:textId="77777777" w:rsidR="00572548" w:rsidRPr="006C5DB1" w:rsidRDefault="00572548" w:rsidP="00CA1026">
            <w:pPr>
              <w:keepNext/>
              <w:keepLines/>
              <w:spacing w:line="257" w:lineRule="auto"/>
              <w:jc w:val="both"/>
              <w:rPr>
                <w:rFonts w:eastAsia="Calibri" w:cs="Arial"/>
                <w:bCs/>
                <w:sz w:val="18"/>
                <w:szCs w:val="18"/>
              </w:rPr>
            </w:pPr>
            <w:r w:rsidRPr="006C5DB1">
              <w:rPr>
                <w:rFonts w:eastAsia="Calibri" w:cs="Arial"/>
                <w:bCs/>
                <w:sz w:val="18"/>
                <w:szCs w:val="18"/>
              </w:rPr>
              <w:t>$133.00per day</w:t>
            </w:r>
          </w:p>
        </w:tc>
        <w:tc>
          <w:tcPr>
            <w:tcW w:w="1929" w:type="dxa"/>
          </w:tcPr>
          <w:p w14:paraId="53742449" w14:textId="245489F0" w:rsidR="00572548" w:rsidRPr="006C5DB1" w:rsidRDefault="00572548" w:rsidP="00CA1026">
            <w:pPr>
              <w:keepNext/>
              <w:keepLines/>
              <w:spacing w:line="257" w:lineRule="auto"/>
              <w:jc w:val="both"/>
              <w:rPr>
                <w:rFonts w:eastAsia="Calibri" w:cs="Arial"/>
                <w:bCs/>
                <w:sz w:val="18"/>
                <w:szCs w:val="18"/>
              </w:rPr>
            </w:pPr>
            <w:r w:rsidRPr="006C5DB1">
              <w:rPr>
                <w:rFonts w:eastAsia="Calibri" w:cs="Arial"/>
                <w:bCs/>
                <w:sz w:val="18"/>
                <w:szCs w:val="18"/>
              </w:rPr>
              <w:t>$139.00 per day</w:t>
            </w:r>
          </w:p>
        </w:tc>
      </w:tr>
      <w:tr w:rsidR="00572548" w:rsidRPr="006C5DB1" w14:paraId="15E1A2FC" w14:textId="29A0DBF6" w:rsidTr="00572548">
        <w:tc>
          <w:tcPr>
            <w:tcW w:w="5126" w:type="dxa"/>
          </w:tcPr>
          <w:p w14:paraId="012340E3" w14:textId="77777777" w:rsidR="00572548" w:rsidRPr="006C5DB1" w:rsidRDefault="00572548" w:rsidP="00CA1026">
            <w:pPr>
              <w:keepNext/>
              <w:keepLines/>
              <w:spacing w:line="257" w:lineRule="auto"/>
              <w:jc w:val="both"/>
              <w:rPr>
                <w:rFonts w:eastAsia="Calibri" w:cs="Arial"/>
                <w:bCs/>
                <w:sz w:val="18"/>
                <w:szCs w:val="18"/>
              </w:rPr>
            </w:pPr>
            <w:r w:rsidRPr="006C5DB1">
              <w:rPr>
                <w:rFonts w:eastAsia="Calibri" w:cs="Arial"/>
                <w:bCs/>
                <w:sz w:val="18"/>
                <w:szCs w:val="18"/>
              </w:rPr>
              <w:t>Other Members not provided with overnight accommodation in the Parliamentary Annexe who stay in commercial accommodation facilities for an overnight stay</w:t>
            </w:r>
          </w:p>
        </w:tc>
        <w:tc>
          <w:tcPr>
            <w:tcW w:w="1961" w:type="dxa"/>
          </w:tcPr>
          <w:p w14:paraId="407CFC23" w14:textId="77777777" w:rsidR="00572548" w:rsidRPr="006C5DB1" w:rsidRDefault="00572548" w:rsidP="00CA1026">
            <w:pPr>
              <w:keepNext/>
              <w:keepLines/>
              <w:spacing w:line="257" w:lineRule="auto"/>
              <w:jc w:val="both"/>
              <w:rPr>
                <w:rFonts w:eastAsia="Calibri" w:cs="Arial"/>
                <w:bCs/>
                <w:sz w:val="18"/>
                <w:szCs w:val="18"/>
              </w:rPr>
            </w:pPr>
            <w:r w:rsidRPr="006C5DB1">
              <w:rPr>
                <w:rFonts w:eastAsia="Calibri" w:cs="Arial"/>
                <w:bCs/>
                <w:sz w:val="18"/>
                <w:szCs w:val="18"/>
              </w:rPr>
              <w:t>$399.00 per day</w:t>
            </w:r>
          </w:p>
        </w:tc>
        <w:tc>
          <w:tcPr>
            <w:tcW w:w="1929" w:type="dxa"/>
          </w:tcPr>
          <w:p w14:paraId="1B23453C" w14:textId="7EBEC977" w:rsidR="00572548" w:rsidRPr="006C5DB1" w:rsidRDefault="00572548" w:rsidP="00CA1026">
            <w:pPr>
              <w:keepNext/>
              <w:keepLines/>
              <w:spacing w:line="257" w:lineRule="auto"/>
              <w:jc w:val="both"/>
              <w:rPr>
                <w:rFonts w:eastAsia="Calibri" w:cs="Arial"/>
                <w:bCs/>
                <w:sz w:val="18"/>
                <w:szCs w:val="18"/>
              </w:rPr>
            </w:pPr>
            <w:r w:rsidRPr="006C5DB1">
              <w:rPr>
                <w:rFonts w:eastAsia="Calibri" w:cs="Arial"/>
                <w:bCs/>
                <w:sz w:val="18"/>
                <w:szCs w:val="18"/>
              </w:rPr>
              <w:t>$416.00 per day</w:t>
            </w:r>
          </w:p>
        </w:tc>
      </w:tr>
    </w:tbl>
    <w:p w14:paraId="0BE68590" w14:textId="1969CF99" w:rsidR="005A4E95" w:rsidRDefault="005A4E95" w:rsidP="005A4E95">
      <w:pPr>
        <w:spacing w:before="160" w:after="160"/>
        <w:jc w:val="both"/>
        <w:rPr>
          <w:rFonts w:cs="Arial"/>
          <w:sz w:val="22"/>
        </w:rPr>
      </w:pPr>
      <w:r w:rsidRPr="00816804">
        <w:rPr>
          <w:rFonts w:cs="Arial"/>
          <w:sz w:val="22"/>
        </w:rPr>
        <w:t>Where a 1/3</w:t>
      </w:r>
      <w:r w:rsidRPr="00816804">
        <w:rPr>
          <w:rFonts w:cs="Arial"/>
          <w:sz w:val="22"/>
          <w:vertAlign w:val="superscript"/>
        </w:rPr>
        <w:t>rd</w:t>
      </w:r>
      <w:r w:rsidRPr="00816804">
        <w:rPr>
          <w:rFonts w:cs="Arial"/>
          <w:sz w:val="22"/>
        </w:rPr>
        <w:t xml:space="preserve"> </w:t>
      </w:r>
      <w:r w:rsidR="003C2E31">
        <w:rPr>
          <w:rFonts w:cs="Arial"/>
          <w:sz w:val="22"/>
        </w:rPr>
        <w:t xml:space="preserve">DTA or PBOR </w:t>
      </w:r>
      <w:r w:rsidRPr="00816804">
        <w:rPr>
          <w:rFonts w:cs="Arial"/>
          <w:sz w:val="22"/>
        </w:rPr>
        <w:t>rate applies</w:t>
      </w:r>
      <w:r w:rsidR="003C2E31">
        <w:rPr>
          <w:rFonts w:cs="Arial"/>
          <w:sz w:val="22"/>
        </w:rPr>
        <w:t>,</w:t>
      </w:r>
      <w:r w:rsidRPr="00816804">
        <w:rPr>
          <w:rFonts w:cs="Arial"/>
          <w:sz w:val="22"/>
        </w:rPr>
        <w:t xml:space="preserve"> this will be rounded up to $139.00 per day. </w:t>
      </w:r>
    </w:p>
    <w:p w14:paraId="5E49D29C" w14:textId="11036A9F" w:rsidR="002C239F" w:rsidRDefault="002C239F" w:rsidP="005A4E95">
      <w:pPr>
        <w:spacing w:before="160" w:after="160"/>
        <w:jc w:val="both"/>
        <w:rPr>
          <w:rFonts w:cs="Arial"/>
          <w:sz w:val="22"/>
        </w:rPr>
      </w:pPr>
      <w:r>
        <w:rPr>
          <w:rFonts w:cs="Arial"/>
          <w:sz w:val="22"/>
        </w:rPr>
        <w:t xml:space="preserve">The </w:t>
      </w:r>
      <w:r w:rsidR="006C3551">
        <w:rPr>
          <w:rFonts w:cs="Arial"/>
          <w:sz w:val="22"/>
        </w:rPr>
        <w:t xml:space="preserve">Tribunal confirmed the current </w:t>
      </w:r>
      <w:r>
        <w:rPr>
          <w:rFonts w:cs="Arial"/>
          <w:sz w:val="22"/>
        </w:rPr>
        <w:t xml:space="preserve">overseas DTA rate of $333.00 per day is </w:t>
      </w:r>
      <w:r w:rsidR="006C3551">
        <w:rPr>
          <w:rFonts w:cs="Arial"/>
          <w:sz w:val="22"/>
        </w:rPr>
        <w:t>to remain unchanged</w:t>
      </w:r>
      <w:r>
        <w:rPr>
          <w:rFonts w:cs="Arial"/>
          <w:sz w:val="22"/>
        </w:rPr>
        <w:t xml:space="preserve">. </w:t>
      </w:r>
    </w:p>
    <w:p w14:paraId="1DA444D5" w14:textId="77777777" w:rsidR="007026B1" w:rsidRDefault="00926697" w:rsidP="005A4E95">
      <w:pPr>
        <w:spacing w:before="160" w:after="160"/>
        <w:jc w:val="both"/>
        <w:rPr>
          <w:rFonts w:cs="Arial"/>
          <w:sz w:val="22"/>
        </w:rPr>
        <w:sectPr w:rsidR="007026B1" w:rsidSect="00E4735A">
          <w:headerReference w:type="even" r:id="rId12"/>
          <w:headerReference w:type="default" r:id="rId13"/>
          <w:footerReference w:type="even" r:id="rId14"/>
          <w:headerReference w:type="first" r:id="rId15"/>
          <w:footerReference w:type="first" r:id="rId16"/>
          <w:type w:val="continuous"/>
          <w:pgSz w:w="11906" w:h="16838"/>
          <w:pgMar w:top="1702" w:right="1440" w:bottom="851" w:left="1440" w:header="708" w:footer="708" w:gutter="0"/>
          <w:cols w:space="708"/>
          <w:titlePg/>
          <w:docGrid w:linePitch="360"/>
        </w:sectPr>
      </w:pPr>
      <w:r>
        <w:rPr>
          <w:rFonts w:cs="Arial"/>
          <w:sz w:val="22"/>
        </w:rPr>
        <w:t xml:space="preserve">The Tribunal notes that the increased DTA rates </w:t>
      </w:r>
      <w:r w:rsidR="006C3551">
        <w:rPr>
          <w:rFonts w:cs="Arial"/>
          <w:sz w:val="22"/>
        </w:rPr>
        <w:t>may</w:t>
      </w:r>
      <w:r>
        <w:rPr>
          <w:rFonts w:cs="Arial"/>
          <w:sz w:val="22"/>
        </w:rPr>
        <w:t xml:space="preserve"> lead to an increase in the overall GTA claimed by members. The Tribunal will monitor members’ GTA claims in 2023 to ensure the quantum of the GTA remains sufficient. </w:t>
      </w:r>
    </w:p>
    <w:p w14:paraId="720543E7" w14:textId="4B1DFF46" w:rsidR="00BC40F1" w:rsidRDefault="00BC40F1" w:rsidP="005A4E95">
      <w:pPr>
        <w:spacing w:before="160" w:after="160"/>
        <w:jc w:val="both"/>
        <w:rPr>
          <w:rFonts w:cs="Arial"/>
          <w:sz w:val="22"/>
        </w:rPr>
      </w:pPr>
    </w:p>
    <w:p w14:paraId="4E81CDE8" w14:textId="77777777" w:rsidR="00BC40F1" w:rsidRDefault="00BC40F1">
      <w:pPr>
        <w:spacing w:after="160" w:line="259" w:lineRule="auto"/>
        <w:rPr>
          <w:rFonts w:cs="Arial"/>
          <w:sz w:val="22"/>
        </w:rPr>
      </w:pPr>
      <w:r>
        <w:rPr>
          <w:rFonts w:cs="Arial"/>
          <w:sz w:val="22"/>
        </w:rPr>
        <w:br w:type="page"/>
      </w:r>
    </w:p>
    <w:p w14:paraId="544A1B21" w14:textId="5314905C" w:rsidR="00D50268" w:rsidRPr="007E469D" w:rsidRDefault="00D50268" w:rsidP="00D50268">
      <w:pPr>
        <w:pStyle w:val="Title"/>
        <w:pBdr>
          <w:bottom w:val="single" w:sz="8" w:space="7" w:color="4F81BD"/>
        </w:pBdr>
        <w:rPr>
          <w:rFonts w:ascii="Arial" w:hAnsi="Arial" w:cs="Arial"/>
          <w:lang w:val="en-US"/>
        </w:rPr>
      </w:pPr>
      <w:r w:rsidRPr="007E469D">
        <w:rPr>
          <w:rFonts w:ascii="Arial" w:hAnsi="Arial" w:cs="Arial"/>
          <w:lang w:val="en-US"/>
        </w:rPr>
        <w:lastRenderedPageBreak/>
        <w:t>D</w:t>
      </w:r>
      <w:r>
        <w:rPr>
          <w:rFonts w:ascii="Arial" w:hAnsi="Arial" w:cs="Arial"/>
          <w:lang w:val="en-US"/>
        </w:rPr>
        <w:t xml:space="preserve">etermination </w:t>
      </w:r>
      <w:r w:rsidR="00744890">
        <w:rPr>
          <w:rFonts w:ascii="Arial" w:hAnsi="Arial" w:cs="Arial"/>
          <w:lang w:val="en-US"/>
        </w:rPr>
        <w:t>27</w:t>
      </w:r>
      <w:r>
        <w:rPr>
          <w:rFonts w:ascii="Arial" w:hAnsi="Arial" w:cs="Arial"/>
          <w:lang w:val="en-US"/>
        </w:rPr>
        <w:t>/202</w:t>
      </w:r>
      <w:r w:rsidR="00744890">
        <w:rPr>
          <w:rFonts w:ascii="Arial" w:hAnsi="Arial" w:cs="Arial"/>
          <w:lang w:val="en-US"/>
        </w:rPr>
        <w:t>3</w:t>
      </w:r>
    </w:p>
    <w:p w14:paraId="39FFAB77" w14:textId="4F47992A" w:rsidR="00D50268" w:rsidRDefault="00D50268" w:rsidP="003B503D">
      <w:pPr>
        <w:spacing w:after="160" w:line="259" w:lineRule="auto"/>
        <w:jc w:val="both"/>
        <w:rPr>
          <w:rFonts w:cs="Arial"/>
          <w:sz w:val="23"/>
          <w:szCs w:val="23"/>
        </w:rPr>
      </w:pPr>
      <w:r>
        <w:rPr>
          <w:rFonts w:cs="Arial"/>
          <w:sz w:val="23"/>
          <w:szCs w:val="23"/>
        </w:rPr>
        <w:t xml:space="preserve">Any inconsistencies between earlier Tribunal Determinations and Determination </w:t>
      </w:r>
      <w:r w:rsidR="00744890">
        <w:rPr>
          <w:rFonts w:cs="Arial"/>
          <w:sz w:val="23"/>
          <w:szCs w:val="23"/>
        </w:rPr>
        <w:t>27/2023</w:t>
      </w:r>
      <w:r>
        <w:rPr>
          <w:rFonts w:cs="Arial"/>
          <w:sz w:val="23"/>
          <w:szCs w:val="23"/>
        </w:rPr>
        <w:t xml:space="preserve"> are resolved in favour of Determination </w:t>
      </w:r>
      <w:r w:rsidR="00744890">
        <w:rPr>
          <w:rFonts w:cs="Arial"/>
          <w:sz w:val="23"/>
          <w:szCs w:val="23"/>
        </w:rPr>
        <w:t>27/2023</w:t>
      </w:r>
      <w:r>
        <w:rPr>
          <w:rFonts w:cs="Arial"/>
          <w:sz w:val="23"/>
          <w:szCs w:val="23"/>
        </w:rPr>
        <w:t xml:space="preserve">. Matters in earlier Determinations not addressed in this Determination are confirmed by the Tribunal and not amended. </w:t>
      </w:r>
    </w:p>
    <w:p w14:paraId="6D7E0E10" w14:textId="27F217D5" w:rsidR="00D50268" w:rsidRDefault="00744890" w:rsidP="00D50268">
      <w:pPr>
        <w:pStyle w:val="Subtitle"/>
        <w:spacing w:after="160" w:line="259" w:lineRule="auto"/>
        <w:rPr>
          <w:rFonts w:ascii="Arial" w:hAnsi="Arial" w:cs="Arial"/>
          <w:sz w:val="23"/>
          <w:szCs w:val="23"/>
        </w:rPr>
      </w:pPr>
      <w:r>
        <w:rPr>
          <w:rFonts w:ascii="Arial" w:hAnsi="Arial" w:cs="Arial"/>
          <w:sz w:val="23"/>
          <w:szCs w:val="23"/>
        </w:rPr>
        <w:t>Electorate and Communication Allowance – High Enrolment Supplement</w:t>
      </w:r>
    </w:p>
    <w:p w14:paraId="3A256F68" w14:textId="2EB3A3F9" w:rsidR="006D780E" w:rsidRPr="003B503D" w:rsidRDefault="00D50268" w:rsidP="003B503D">
      <w:pPr>
        <w:pStyle w:val="ListParagraph"/>
        <w:numPr>
          <w:ilvl w:val="0"/>
          <w:numId w:val="2"/>
        </w:numPr>
        <w:spacing w:before="160" w:after="160" w:line="259" w:lineRule="auto"/>
        <w:ind w:left="714" w:hanging="357"/>
        <w:contextualSpacing w:val="0"/>
        <w:jc w:val="both"/>
        <w:rPr>
          <w:rFonts w:ascii="Arial" w:hAnsi="Arial" w:cs="Arial"/>
          <w:sz w:val="23"/>
          <w:szCs w:val="23"/>
        </w:rPr>
      </w:pPr>
      <w:r w:rsidRPr="009F461B">
        <w:rPr>
          <w:rFonts w:ascii="Arial" w:hAnsi="Arial" w:cs="Arial"/>
          <w:sz w:val="23"/>
          <w:szCs w:val="23"/>
        </w:rPr>
        <w:t xml:space="preserve">The Tribunal determines </w:t>
      </w:r>
      <w:r w:rsidR="00744890">
        <w:rPr>
          <w:rFonts w:ascii="Arial" w:hAnsi="Arial" w:cs="Arial"/>
          <w:sz w:val="23"/>
          <w:szCs w:val="23"/>
        </w:rPr>
        <w:t xml:space="preserve">that the High Enrolment Supplement </w:t>
      </w:r>
      <w:r w:rsidR="00926697">
        <w:rPr>
          <w:rFonts w:ascii="Arial" w:hAnsi="Arial" w:cs="Arial"/>
          <w:sz w:val="23"/>
          <w:szCs w:val="23"/>
        </w:rPr>
        <w:t>is</w:t>
      </w:r>
      <w:r w:rsidR="00744890">
        <w:rPr>
          <w:rFonts w:ascii="Arial" w:hAnsi="Arial" w:cs="Arial"/>
          <w:sz w:val="23"/>
          <w:szCs w:val="23"/>
        </w:rPr>
        <w:t xml:space="preserve"> $5</w:t>
      </w:r>
      <w:r w:rsidR="005314E9">
        <w:rPr>
          <w:rFonts w:ascii="Arial" w:hAnsi="Arial" w:cs="Arial"/>
          <w:sz w:val="23"/>
          <w:szCs w:val="23"/>
        </w:rPr>
        <w:t>,</w:t>
      </w:r>
      <w:r w:rsidR="00744890">
        <w:rPr>
          <w:rFonts w:ascii="Arial" w:hAnsi="Arial" w:cs="Arial"/>
          <w:sz w:val="23"/>
          <w:szCs w:val="23"/>
        </w:rPr>
        <w:t>000 per financial year</w:t>
      </w:r>
      <w:r w:rsidR="004759FB">
        <w:rPr>
          <w:rFonts w:ascii="Arial" w:hAnsi="Arial" w:cs="Arial"/>
          <w:sz w:val="23"/>
          <w:szCs w:val="23"/>
        </w:rPr>
        <w:t xml:space="preserve"> and that </w:t>
      </w:r>
      <w:r w:rsidR="004759FB" w:rsidRPr="004759FB">
        <w:rPr>
          <w:rFonts w:ascii="Arial" w:hAnsi="Arial" w:cs="Arial"/>
          <w:sz w:val="23"/>
          <w:szCs w:val="23"/>
        </w:rPr>
        <w:t>this</w:t>
      </w:r>
      <w:r w:rsidR="004368EC" w:rsidRPr="004759FB">
        <w:rPr>
          <w:rFonts w:ascii="Arial" w:hAnsi="Arial" w:cs="Arial"/>
          <w:sz w:val="23"/>
          <w:szCs w:val="23"/>
        </w:rPr>
        <w:t xml:space="preserve"> amount will not be re-considered until the next State Electoral Redistribution takes effect.</w:t>
      </w:r>
      <w:r w:rsidR="004368EC" w:rsidRPr="004759FB">
        <w:rPr>
          <w:rFonts w:cs="Arial"/>
          <w:sz w:val="23"/>
          <w:szCs w:val="23"/>
        </w:rPr>
        <w:t xml:space="preserve"> </w:t>
      </w:r>
    </w:p>
    <w:p w14:paraId="2C601E9A" w14:textId="5A76BDBB" w:rsidR="00517F1A" w:rsidRPr="003B503D" w:rsidRDefault="00517F1A" w:rsidP="003B503D">
      <w:pPr>
        <w:pStyle w:val="ListParagraph"/>
        <w:numPr>
          <w:ilvl w:val="0"/>
          <w:numId w:val="2"/>
        </w:numPr>
        <w:spacing w:before="160" w:after="160" w:line="259" w:lineRule="auto"/>
        <w:contextualSpacing w:val="0"/>
        <w:jc w:val="both"/>
        <w:rPr>
          <w:rFonts w:ascii="Arial" w:hAnsi="Arial" w:cs="Arial"/>
          <w:sz w:val="23"/>
          <w:szCs w:val="23"/>
        </w:rPr>
      </w:pPr>
      <w:r w:rsidRPr="009F461B">
        <w:rPr>
          <w:rFonts w:ascii="Arial" w:hAnsi="Arial" w:cs="Arial"/>
          <w:sz w:val="23"/>
          <w:szCs w:val="23"/>
        </w:rPr>
        <w:t xml:space="preserve">The Tribunal determines </w:t>
      </w:r>
      <w:r>
        <w:rPr>
          <w:rFonts w:ascii="Arial" w:hAnsi="Arial" w:cs="Arial"/>
          <w:sz w:val="23"/>
          <w:szCs w:val="23"/>
        </w:rPr>
        <w:t xml:space="preserve">that the High Enrolment Supplement of $5,000 per financial year is to be paid to the Member for Coomera from 1 January 2023. </w:t>
      </w:r>
      <w:r w:rsidRPr="004759FB">
        <w:rPr>
          <w:rFonts w:cs="Arial"/>
          <w:sz w:val="23"/>
          <w:szCs w:val="23"/>
        </w:rPr>
        <w:t xml:space="preserve"> </w:t>
      </w:r>
    </w:p>
    <w:p w14:paraId="5FB01A67" w14:textId="786632EE" w:rsidR="006D780E" w:rsidRDefault="004368EC" w:rsidP="006D780E">
      <w:pPr>
        <w:pStyle w:val="Subtitle"/>
        <w:spacing w:after="160" w:line="259" w:lineRule="auto"/>
        <w:rPr>
          <w:rFonts w:ascii="Arial" w:hAnsi="Arial" w:cs="Arial"/>
          <w:sz w:val="23"/>
          <w:szCs w:val="23"/>
        </w:rPr>
      </w:pPr>
      <w:r>
        <w:rPr>
          <w:rFonts w:ascii="Arial" w:hAnsi="Arial" w:cs="Arial"/>
          <w:sz w:val="23"/>
          <w:szCs w:val="23"/>
        </w:rPr>
        <w:t>Motor Vehicle Allowance</w:t>
      </w:r>
    </w:p>
    <w:p w14:paraId="01F1D39D" w14:textId="5C3B6DED" w:rsidR="006D780E" w:rsidRPr="004368EC" w:rsidRDefault="006D780E" w:rsidP="003B503D">
      <w:pPr>
        <w:pStyle w:val="ListParagraph"/>
        <w:numPr>
          <w:ilvl w:val="0"/>
          <w:numId w:val="2"/>
        </w:numPr>
        <w:spacing w:before="160" w:after="160" w:line="259" w:lineRule="auto"/>
        <w:ind w:left="714" w:hanging="357"/>
        <w:contextualSpacing w:val="0"/>
        <w:jc w:val="both"/>
        <w:rPr>
          <w:rFonts w:ascii="Arial" w:hAnsi="Arial" w:cs="Arial"/>
          <w:sz w:val="23"/>
          <w:szCs w:val="23"/>
        </w:rPr>
      </w:pPr>
      <w:r w:rsidRPr="004368EC">
        <w:rPr>
          <w:rFonts w:ascii="Arial" w:hAnsi="Arial" w:cs="Arial"/>
          <w:sz w:val="23"/>
          <w:szCs w:val="23"/>
        </w:rPr>
        <w:t xml:space="preserve">The Tribunal determines </w:t>
      </w:r>
      <w:r w:rsidR="004368EC" w:rsidRPr="004368EC">
        <w:rPr>
          <w:rFonts w:ascii="Arial" w:hAnsi="Arial" w:cs="Arial"/>
          <w:sz w:val="23"/>
          <w:szCs w:val="23"/>
        </w:rPr>
        <w:t>that the Motor Vehicle Allowance will increase by 2.5%</w:t>
      </w:r>
      <w:r w:rsidR="00517F1A">
        <w:rPr>
          <w:rFonts w:ascii="Arial" w:hAnsi="Arial" w:cs="Arial"/>
          <w:sz w:val="23"/>
          <w:szCs w:val="23"/>
        </w:rPr>
        <w:t xml:space="preserve"> </w:t>
      </w:r>
      <w:r w:rsidR="003B503D">
        <w:rPr>
          <w:rFonts w:ascii="Arial" w:hAnsi="Arial" w:cs="Arial"/>
          <w:sz w:val="23"/>
          <w:szCs w:val="23"/>
        </w:rPr>
        <w:t xml:space="preserve">for all bands </w:t>
      </w:r>
      <w:r w:rsidR="00517F1A">
        <w:rPr>
          <w:rFonts w:ascii="Arial" w:hAnsi="Arial" w:cs="Arial"/>
          <w:sz w:val="23"/>
          <w:szCs w:val="23"/>
        </w:rPr>
        <w:t>and that the increase will be back dated to 1 January 2023.</w:t>
      </w:r>
    </w:p>
    <w:p w14:paraId="45C98254" w14:textId="0A483FF1" w:rsidR="004368EC" w:rsidRDefault="004368EC" w:rsidP="004368EC">
      <w:pPr>
        <w:pStyle w:val="Subtitle"/>
        <w:spacing w:after="160" w:line="259" w:lineRule="auto"/>
        <w:rPr>
          <w:rFonts w:ascii="Arial" w:hAnsi="Arial" w:cs="Arial"/>
          <w:sz w:val="23"/>
          <w:szCs w:val="23"/>
        </w:rPr>
      </w:pPr>
      <w:r>
        <w:rPr>
          <w:rFonts w:ascii="Arial" w:hAnsi="Arial" w:cs="Arial"/>
          <w:sz w:val="23"/>
          <w:szCs w:val="23"/>
        </w:rPr>
        <w:t xml:space="preserve">General Travel Allocation – Daily Travel Allowance </w:t>
      </w:r>
    </w:p>
    <w:p w14:paraId="5E99BAB0" w14:textId="109992BD" w:rsidR="004368EC" w:rsidRDefault="004368EC" w:rsidP="003B503D">
      <w:pPr>
        <w:pStyle w:val="ListParagraph"/>
        <w:numPr>
          <w:ilvl w:val="0"/>
          <w:numId w:val="2"/>
        </w:numPr>
        <w:spacing w:before="160" w:after="160" w:line="259" w:lineRule="auto"/>
        <w:ind w:left="714" w:hanging="357"/>
        <w:contextualSpacing w:val="0"/>
        <w:jc w:val="both"/>
        <w:rPr>
          <w:rFonts w:ascii="Arial" w:hAnsi="Arial" w:cs="Arial"/>
          <w:sz w:val="23"/>
          <w:szCs w:val="23"/>
        </w:rPr>
      </w:pPr>
      <w:r w:rsidRPr="004368EC">
        <w:rPr>
          <w:rFonts w:ascii="Arial" w:hAnsi="Arial" w:cs="Arial"/>
          <w:sz w:val="23"/>
          <w:szCs w:val="23"/>
        </w:rPr>
        <w:t xml:space="preserve">The Tribunal determines that </w:t>
      </w:r>
      <w:r>
        <w:rPr>
          <w:rFonts w:ascii="Arial" w:hAnsi="Arial" w:cs="Arial"/>
          <w:sz w:val="23"/>
          <w:szCs w:val="23"/>
        </w:rPr>
        <w:t xml:space="preserve">the Daily Travel Allowance will be set as follows: </w:t>
      </w:r>
    </w:p>
    <w:tbl>
      <w:tblPr>
        <w:tblStyle w:val="TableGrid"/>
        <w:tblW w:w="0" w:type="auto"/>
        <w:tblInd w:w="704" w:type="dxa"/>
        <w:tblLook w:val="04A0" w:firstRow="1" w:lastRow="0" w:firstColumn="1" w:lastColumn="0" w:noHBand="0" w:noVBand="1"/>
      </w:tblPr>
      <w:tblGrid>
        <w:gridCol w:w="6095"/>
        <w:gridCol w:w="2217"/>
      </w:tblGrid>
      <w:tr w:rsidR="004368EC" w:rsidRPr="002A75BA" w14:paraId="39215A11" w14:textId="77777777" w:rsidTr="004759FB">
        <w:tc>
          <w:tcPr>
            <w:tcW w:w="6095" w:type="dxa"/>
            <w:shd w:val="clear" w:color="auto" w:fill="9CC2E5" w:themeFill="accent1" w:themeFillTint="99"/>
          </w:tcPr>
          <w:p w14:paraId="258C265D" w14:textId="77777777" w:rsidR="004368EC" w:rsidRPr="004368EC" w:rsidRDefault="004368EC" w:rsidP="004368EC">
            <w:pPr>
              <w:keepNext/>
              <w:keepLines/>
              <w:spacing w:line="276" w:lineRule="auto"/>
              <w:ind w:left="360"/>
              <w:jc w:val="both"/>
              <w:rPr>
                <w:rFonts w:eastAsia="Calibri" w:cs="Arial"/>
                <w:b/>
              </w:rPr>
            </w:pPr>
            <w:r w:rsidRPr="004368EC">
              <w:rPr>
                <w:rFonts w:eastAsia="Calibri" w:cs="Arial"/>
                <w:b/>
              </w:rPr>
              <w:t>Location of overnight stay</w:t>
            </w:r>
          </w:p>
        </w:tc>
        <w:tc>
          <w:tcPr>
            <w:tcW w:w="2217" w:type="dxa"/>
            <w:shd w:val="clear" w:color="auto" w:fill="9CC2E5" w:themeFill="accent1" w:themeFillTint="99"/>
          </w:tcPr>
          <w:p w14:paraId="0CA88C77" w14:textId="77777777" w:rsidR="004368EC" w:rsidRPr="00D43ECB" w:rsidRDefault="004368EC" w:rsidP="00CA1026">
            <w:pPr>
              <w:keepNext/>
              <w:keepLines/>
              <w:spacing w:line="276" w:lineRule="auto"/>
              <w:jc w:val="both"/>
              <w:rPr>
                <w:rFonts w:eastAsia="Calibri" w:cs="Arial"/>
                <w:b/>
              </w:rPr>
            </w:pPr>
            <w:r w:rsidRPr="00D43ECB">
              <w:rPr>
                <w:rFonts w:eastAsia="Calibri" w:cs="Arial"/>
                <w:b/>
              </w:rPr>
              <w:t>Amount</w:t>
            </w:r>
          </w:p>
        </w:tc>
      </w:tr>
      <w:tr w:rsidR="004368EC" w:rsidRPr="002A75BA" w14:paraId="335C1E58" w14:textId="77777777" w:rsidTr="004759FB">
        <w:tc>
          <w:tcPr>
            <w:tcW w:w="6095" w:type="dxa"/>
          </w:tcPr>
          <w:p w14:paraId="4F8917CA" w14:textId="56EE039B" w:rsidR="004368EC" w:rsidRPr="00D43ECB" w:rsidRDefault="004368EC" w:rsidP="00CA1026">
            <w:pPr>
              <w:jc w:val="both"/>
              <w:rPr>
                <w:rFonts w:eastAsia="Calibri" w:cs="Arial"/>
                <w:bCs/>
              </w:rPr>
            </w:pPr>
            <w:r w:rsidRPr="00D43ECB">
              <w:rPr>
                <w:rFonts w:eastAsia="Calibri" w:cs="Arial"/>
                <w:bCs/>
              </w:rPr>
              <w:t>State and Territory capital cities within Australia as well as Wellington (</w:t>
            </w:r>
            <w:r w:rsidR="002C239F">
              <w:rPr>
                <w:rFonts w:eastAsia="Calibri" w:cs="Arial"/>
                <w:bCs/>
              </w:rPr>
              <w:t>New Zealand)</w:t>
            </w:r>
            <w:r w:rsidRPr="00D43ECB">
              <w:rPr>
                <w:rFonts w:eastAsia="Calibri" w:cs="Arial"/>
                <w:bCs/>
              </w:rPr>
              <w:t xml:space="preserve"> and Port Moresby (P</w:t>
            </w:r>
            <w:r w:rsidR="002C239F">
              <w:rPr>
                <w:rFonts w:eastAsia="Calibri" w:cs="Arial"/>
                <w:bCs/>
              </w:rPr>
              <w:t>apua New Guinea</w:t>
            </w:r>
            <w:r w:rsidRPr="00D43ECB">
              <w:rPr>
                <w:rFonts w:eastAsia="Calibri" w:cs="Arial"/>
                <w:bCs/>
              </w:rPr>
              <w:t>)</w:t>
            </w:r>
          </w:p>
        </w:tc>
        <w:tc>
          <w:tcPr>
            <w:tcW w:w="2217" w:type="dxa"/>
          </w:tcPr>
          <w:p w14:paraId="59628383" w14:textId="53698604" w:rsidR="004368EC" w:rsidRPr="00D43ECB" w:rsidRDefault="004368EC" w:rsidP="00CA1026">
            <w:pPr>
              <w:jc w:val="both"/>
              <w:rPr>
                <w:rFonts w:eastAsia="Calibri" w:cs="Arial"/>
                <w:bCs/>
              </w:rPr>
            </w:pPr>
            <w:r w:rsidRPr="00D43ECB">
              <w:rPr>
                <w:rFonts w:eastAsia="Calibri" w:cs="Arial"/>
                <w:bCs/>
              </w:rPr>
              <w:t>$</w:t>
            </w:r>
            <w:r>
              <w:rPr>
                <w:rFonts w:eastAsia="Calibri" w:cs="Arial"/>
                <w:bCs/>
              </w:rPr>
              <w:t>416</w:t>
            </w:r>
            <w:r w:rsidRPr="00D43ECB">
              <w:rPr>
                <w:rFonts w:eastAsia="Calibri" w:cs="Arial"/>
                <w:bCs/>
              </w:rPr>
              <w:t>.00 per day</w:t>
            </w:r>
          </w:p>
        </w:tc>
      </w:tr>
      <w:tr w:rsidR="004368EC" w:rsidRPr="002A75BA" w14:paraId="2A6F57FD" w14:textId="77777777" w:rsidTr="004759FB">
        <w:tc>
          <w:tcPr>
            <w:tcW w:w="6095" w:type="dxa"/>
          </w:tcPr>
          <w:p w14:paraId="7004E311" w14:textId="77777777" w:rsidR="004368EC" w:rsidRPr="00D43ECB" w:rsidRDefault="004368EC" w:rsidP="00CA1026">
            <w:pPr>
              <w:jc w:val="both"/>
              <w:rPr>
                <w:rFonts w:eastAsia="Calibri" w:cs="Arial"/>
                <w:bCs/>
              </w:rPr>
            </w:pPr>
            <w:r w:rsidRPr="00D43ECB">
              <w:rPr>
                <w:rFonts w:eastAsia="Calibri" w:cs="Arial"/>
                <w:bCs/>
              </w:rPr>
              <w:t>All other destinations</w:t>
            </w:r>
          </w:p>
        </w:tc>
        <w:tc>
          <w:tcPr>
            <w:tcW w:w="2217" w:type="dxa"/>
          </w:tcPr>
          <w:p w14:paraId="0687FFDC" w14:textId="1BE9EC4C" w:rsidR="004368EC" w:rsidRPr="00D43ECB" w:rsidRDefault="004368EC" w:rsidP="00CA1026">
            <w:pPr>
              <w:jc w:val="both"/>
              <w:rPr>
                <w:rFonts w:eastAsia="Calibri" w:cs="Arial"/>
                <w:bCs/>
              </w:rPr>
            </w:pPr>
            <w:r w:rsidRPr="00D43ECB">
              <w:rPr>
                <w:rFonts w:eastAsia="Calibri" w:cs="Arial"/>
                <w:bCs/>
              </w:rPr>
              <w:t>$</w:t>
            </w:r>
            <w:r>
              <w:rPr>
                <w:rFonts w:eastAsia="Calibri" w:cs="Arial"/>
                <w:bCs/>
              </w:rPr>
              <w:t>330</w:t>
            </w:r>
            <w:r w:rsidRPr="00D43ECB">
              <w:rPr>
                <w:rFonts w:eastAsia="Calibri" w:cs="Arial"/>
                <w:bCs/>
              </w:rPr>
              <w:t>.00 per day</w:t>
            </w:r>
          </w:p>
        </w:tc>
      </w:tr>
    </w:tbl>
    <w:p w14:paraId="0EFB53D1" w14:textId="60412703" w:rsidR="004368EC" w:rsidRDefault="004368EC" w:rsidP="003B503D">
      <w:pPr>
        <w:pStyle w:val="ListParagraph"/>
        <w:numPr>
          <w:ilvl w:val="0"/>
          <w:numId w:val="2"/>
        </w:numPr>
        <w:spacing w:before="160" w:after="160" w:line="259" w:lineRule="auto"/>
        <w:ind w:left="714" w:hanging="357"/>
        <w:contextualSpacing w:val="0"/>
        <w:jc w:val="both"/>
        <w:rPr>
          <w:rFonts w:ascii="Arial" w:hAnsi="Arial" w:cs="Arial"/>
          <w:sz w:val="23"/>
          <w:szCs w:val="23"/>
        </w:rPr>
      </w:pPr>
      <w:r>
        <w:rPr>
          <w:rFonts w:ascii="Arial" w:hAnsi="Arial" w:cs="Arial"/>
          <w:sz w:val="23"/>
          <w:szCs w:val="23"/>
        </w:rPr>
        <w:t xml:space="preserve">Where </w:t>
      </w:r>
      <w:r w:rsidR="003B503D">
        <w:rPr>
          <w:rFonts w:ascii="Arial" w:hAnsi="Arial" w:cs="Arial"/>
          <w:sz w:val="23"/>
          <w:szCs w:val="23"/>
        </w:rPr>
        <w:t>1/3</w:t>
      </w:r>
      <w:r w:rsidR="003B503D" w:rsidRPr="003B503D">
        <w:rPr>
          <w:rFonts w:ascii="Arial" w:hAnsi="Arial" w:cs="Arial"/>
          <w:sz w:val="23"/>
          <w:szCs w:val="23"/>
          <w:vertAlign w:val="superscript"/>
        </w:rPr>
        <w:t>rd</w:t>
      </w:r>
      <w:r w:rsidR="003B503D">
        <w:rPr>
          <w:rFonts w:ascii="Arial" w:hAnsi="Arial" w:cs="Arial"/>
          <w:sz w:val="23"/>
          <w:szCs w:val="23"/>
        </w:rPr>
        <w:t xml:space="preserve"> </w:t>
      </w:r>
      <w:r>
        <w:rPr>
          <w:rFonts w:ascii="Arial" w:hAnsi="Arial" w:cs="Arial"/>
          <w:sz w:val="23"/>
          <w:szCs w:val="23"/>
        </w:rPr>
        <w:t>of the Daily Travel Allowance</w:t>
      </w:r>
      <w:r w:rsidR="004759FB">
        <w:rPr>
          <w:rFonts w:ascii="Arial" w:hAnsi="Arial" w:cs="Arial"/>
          <w:sz w:val="23"/>
          <w:szCs w:val="23"/>
        </w:rPr>
        <w:t xml:space="preserve"> amount</w:t>
      </w:r>
      <w:r>
        <w:rPr>
          <w:rFonts w:ascii="Arial" w:hAnsi="Arial" w:cs="Arial"/>
          <w:sz w:val="23"/>
          <w:szCs w:val="23"/>
        </w:rPr>
        <w:t xml:space="preserve"> applies, </w:t>
      </w:r>
      <w:r w:rsidR="004759FB">
        <w:rPr>
          <w:rFonts w:ascii="Arial" w:hAnsi="Arial" w:cs="Arial"/>
          <w:sz w:val="23"/>
          <w:szCs w:val="23"/>
        </w:rPr>
        <w:t>the Tribunal determines that this will be set at $139.00 per day.</w:t>
      </w:r>
    </w:p>
    <w:p w14:paraId="7BB81823" w14:textId="0E6423EC" w:rsidR="00517F1A" w:rsidRPr="00517F1A" w:rsidRDefault="00517F1A" w:rsidP="003B503D">
      <w:pPr>
        <w:pStyle w:val="ListParagraph"/>
        <w:numPr>
          <w:ilvl w:val="0"/>
          <w:numId w:val="2"/>
        </w:numPr>
        <w:spacing w:before="160" w:after="160" w:line="259" w:lineRule="auto"/>
        <w:ind w:left="714" w:hanging="357"/>
        <w:contextualSpacing w:val="0"/>
        <w:jc w:val="both"/>
        <w:rPr>
          <w:rFonts w:ascii="Arial" w:hAnsi="Arial" w:cs="Arial"/>
          <w:sz w:val="23"/>
          <w:szCs w:val="23"/>
        </w:rPr>
      </w:pPr>
      <w:r w:rsidRPr="00517F1A">
        <w:rPr>
          <w:rFonts w:ascii="Arial" w:hAnsi="Arial" w:cs="Arial"/>
          <w:sz w:val="23"/>
          <w:szCs w:val="23"/>
        </w:rPr>
        <w:t>The Tribunal determines that the changes in the Daily Travel Allowance amount applies from 1 January 2023.</w:t>
      </w:r>
    </w:p>
    <w:p w14:paraId="4126999F" w14:textId="22ED5DFC" w:rsidR="004368EC" w:rsidRDefault="004368EC" w:rsidP="004368EC">
      <w:pPr>
        <w:pStyle w:val="Subtitle"/>
        <w:spacing w:after="160" w:line="259" w:lineRule="auto"/>
        <w:rPr>
          <w:rFonts w:ascii="Arial" w:hAnsi="Arial" w:cs="Arial"/>
          <w:sz w:val="23"/>
          <w:szCs w:val="23"/>
        </w:rPr>
      </w:pPr>
      <w:r>
        <w:rPr>
          <w:rFonts w:ascii="Arial" w:hAnsi="Arial" w:cs="Arial"/>
          <w:sz w:val="23"/>
          <w:szCs w:val="23"/>
        </w:rPr>
        <w:t>Parliamentary Business Overnight Rate</w:t>
      </w:r>
    </w:p>
    <w:p w14:paraId="00E041B5" w14:textId="31AA48BB" w:rsidR="004368EC" w:rsidRDefault="004368EC" w:rsidP="003B503D">
      <w:pPr>
        <w:pStyle w:val="ListParagraph"/>
        <w:numPr>
          <w:ilvl w:val="0"/>
          <w:numId w:val="2"/>
        </w:numPr>
        <w:spacing w:before="160" w:after="160" w:line="259" w:lineRule="auto"/>
        <w:ind w:left="714" w:hanging="357"/>
        <w:contextualSpacing w:val="0"/>
        <w:jc w:val="both"/>
        <w:rPr>
          <w:rFonts w:ascii="Arial" w:hAnsi="Arial" w:cs="Arial"/>
          <w:sz w:val="23"/>
          <w:szCs w:val="23"/>
        </w:rPr>
      </w:pPr>
      <w:r w:rsidRPr="004368EC">
        <w:rPr>
          <w:rFonts w:ascii="Arial" w:hAnsi="Arial" w:cs="Arial"/>
          <w:sz w:val="23"/>
          <w:szCs w:val="23"/>
        </w:rPr>
        <w:t xml:space="preserve">The Tribunal determines that </w:t>
      </w:r>
      <w:r>
        <w:rPr>
          <w:rFonts w:ascii="Arial" w:hAnsi="Arial" w:cs="Arial"/>
          <w:sz w:val="23"/>
          <w:szCs w:val="23"/>
        </w:rPr>
        <w:t xml:space="preserve">the Parliamentary Business Overnight Rate will be set as follows: </w:t>
      </w:r>
    </w:p>
    <w:tbl>
      <w:tblPr>
        <w:tblStyle w:val="TableGrid"/>
        <w:tblW w:w="0" w:type="auto"/>
        <w:tblInd w:w="704" w:type="dxa"/>
        <w:tblLook w:val="04A0" w:firstRow="1" w:lastRow="0" w:firstColumn="1" w:lastColumn="0" w:noHBand="0" w:noVBand="1"/>
      </w:tblPr>
      <w:tblGrid>
        <w:gridCol w:w="6098"/>
        <w:gridCol w:w="2214"/>
      </w:tblGrid>
      <w:tr w:rsidR="004759FB" w14:paraId="5820DB15" w14:textId="77777777" w:rsidTr="004759FB">
        <w:tc>
          <w:tcPr>
            <w:tcW w:w="6098" w:type="dxa"/>
            <w:shd w:val="clear" w:color="auto" w:fill="9CC2E5" w:themeFill="accent1" w:themeFillTint="99"/>
          </w:tcPr>
          <w:p w14:paraId="7C28C64A" w14:textId="77777777" w:rsidR="004759FB" w:rsidRPr="00FB56D3" w:rsidRDefault="004759FB" w:rsidP="00CA1026">
            <w:pPr>
              <w:keepNext/>
              <w:keepLines/>
              <w:spacing w:line="257" w:lineRule="auto"/>
              <w:jc w:val="both"/>
              <w:rPr>
                <w:rFonts w:eastAsia="Calibri" w:cs="Arial"/>
                <w:b/>
              </w:rPr>
            </w:pPr>
            <w:r w:rsidRPr="00FB56D3">
              <w:rPr>
                <w:rFonts w:eastAsia="Calibri" w:cs="Arial"/>
                <w:b/>
              </w:rPr>
              <w:t>Circumstance</w:t>
            </w:r>
          </w:p>
        </w:tc>
        <w:tc>
          <w:tcPr>
            <w:tcW w:w="2214" w:type="dxa"/>
            <w:shd w:val="clear" w:color="auto" w:fill="9CC2E5" w:themeFill="accent1" w:themeFillTint="99"/>
          </w:tcPr>
          <w:p w14:paraId="434C1079" w14:textId="77777777" w:rsidR="004759FB" w:rsidRPr="00FB56D3" w:rsidRDefault="004759FB" w:rsidP="00CA1026">
            <w:pPr>
              <w:keepNext/>
              <w:keepLines/>
              <w:spacing w:line="257" w:lineRule="auto"/>
              <w:jc w:val="both"/>
              <w:rPr>
                <w:rFonts w:eastAsia="Calibri" w:cs="Arial"/>
                <w:b/>
              </w:rPr>
            </w:pPr>
            <w:r w:rsidRPr="00FB56D3">
              <w:rPr>
                <w:rFonts w:eastAsia="Calibri" w:cs="Arial"/>
                <w:b/>
              </w:rPr>
              <w:t>Amount</w:t>
            </w:r>
          </w:p>
        </w:tc>
      </w:tr>
      <w:tr w:rsidR="004759FB" w14:paraId="57FC8006" w14:textId="77777777" w:rsidTr="004759FB">
        <w:tc>
          <w:tcPr>
            <w:tcW w:w="6098" w:type="dxa"/>
          </w:tcPr>
          <w:p w14:paraId="7F818865" w14:textId="77777777" w:rsidR="004759FB" w:rsidRPr="00413F88" w:rsidRDefault="004759FB" w:rsidP="00CA1026">
            <w:pPr>
              <w:keepNext/>
              <w:keepLines/>
              <w:spacing w:line="257" w:lineRule="auto"/>
              <w:jc w:val="both"/>
              <w:rPr>
                <w:rFonts w:eastAsia="Calibri" w:cs="Arial"/>
                <w:bCs/>
              </w:rPr>
            </w:pPr>
            <w:r>
              <w:rPr>
                <w:rFonts w:eastAsia="Calibri" w:cs="Arial"/>
                <w:bCs/>
              </w:rPr>
              <w:t>Members provided with overnight accommodation in the Parliamentary Annexe</w:t>
            </w:r>
          </w:p>
        </w:tc>
        <w:tc>
          <w:tcPr>
            <w:tcW w:w="2214" w:type="dxa"/>
          </w:tcPr>
          <w:p w14:paraId="275A8DBE" w14:textId="6B66AF5E" w:rsidR="004759FB" w:rsidRPr="00413F88" w:rsidRDefault="004759FB" w:rsidP="00CA1026">
            <w:pPr>
              <w:keepNext/>
              <w:keepLines/>
              <w:spacing w:line="257" w:lineRule="auto"/>
              <w:jc w:val="both"/>
              <w:rPr>
                <w:rFonts w:eastAsia="Calibri" w:cs="Arial"/>
                <w:bCs/>
              </w:rPr>
            </w:pPr>
            <w:r>
              <w:rPr>
                <w:rFonts w:eastAsia="Calibri" w:cs="Arial"/>
                <w:bCs/>
              </w:rPr>
              <w:t>$139.00 per day</w:t>
            </w:r>
          </w:p>
        </w:tc>
      </w:tr>
      <w:tr w:rsidR="004759FB" w14:paraId="756E1EE0" w14:textId="77777777" w:rsidTr="004759FB">
        <w:tc>
          <w:tcPr>
            <w:tcW w:w="6098" w:type="dxa"/>
          </w:tcPr>
          <w:p w14:paraId="0CC84365" w14:textId="74F0B508" w:rsidR="004759FB" w:rsidRPr="00413F88" w:rsidRDefault="004759FB" w:rsidP="00CA1026">
            <w:pPr>
              <w:keepNext/>
              <w:keepLines/>
              <w:spacing w:line="257" w:lineRule="auto"/>
              <w:jc w:val="both"/>
              <w:rPr>
                <w:rFonts w:eastAsia="Calibri" w:cs="Arial"/>
                <w:bCs/>
              </w:rPr>
            </w:pPr>
            <w:r>
              <w:rPr>
                <w:rFonts w:eastAsia="Calibri" w:cs="Arial"/>
                <w:bCs/>
              </w:rPr>
              <w:t>Members representing Brisbane based electorates</w:t>
            </w:r>
            <w:r w:rsidR="002C239F">
              <w:rPr>
                <w:rFonts w:eastAsia="Calibri" w:cs="Arial"/>
                <w:bCs/>
              </w:rPr>
              <w:t xml:space="preserve"> </w:t>
            </w:r>
            <w:r>
              <w:rPr>
                <w:rFonts w:eastAsia="Calibri" w:cs="Arial"/>
                <w:bCs/>
              </w:rPr>
              <w:t>not provided with overnight accommodation in the Parliamentary Annexe who stay in commercial accommodation facilities for an overnight stay</w:t>
            </w:r>
          </w:p>
        </w:tc>
        <w:tc>
          <w:tcPr>
            <w:tcW w:w="2214" w:type="dxa"/>
          </w:tcPr>
          <w:p w14:paraId="79CE2BAA" w14:textId="017A61B1" w:rsidR="004759FB" w:rsidRPr="00413F88" w:rsidRDefault="004759FB" w:rsidP="00CA1026">
            <w:pPr>
              <w:keepNext/>
              <w:keepLines/>
              <w:spacing w:line="257" w:lineRule="auto"/>
              <w:jc w:val="both"/>
              <w:rPr>
                <w:rFonts w:eastAsia="Calibri" w:cs="Arial"/>
                <w:bCs/>
              </w:rPr>
            </w:pPr>
            <w:r>
              <w:rPr>
                <w:rFonts w:eastAsia="Calibri" w:cs="Arial"/>
                <w:bCs/>
              </w:rPr>
              <w:t>$139.00 per day</w:t>
            </w:r>
          </w:p>
        </w:tc>
      </w:tr>
      <w:tr w:rsidR="004759FB" w14:paraId="20B25C14" w14:textId="77777777" w:rsidTr="004759FB">
        <w:tc>
          <w:tcPr>
            <w:tcW w:w="6098" w:type="dxa"/>
          </w:tcPr>
          <w:p w14:paraId="1CA37CFA" w14:textId="77777777" w:rsidR="004759FB" w:rsidRPr="00413F88" w:rsidRDefault="004759FB" w:rsidP="00CA1026">
            <w:pPr>
              <w:keepNext/>
              <w:keepLines/>
              <w:spacing w:line="257" w:lineRule="auto"/>
              <w:jc w:val="both"/>
              <w:rPr>
                <w:rFonts w:eastAsia="Calibri" w:cs="Arial"/>
                <w:bCs/>
              </w:rPr>
            </w:pPr>
            <w:r>
              <w:rPr>
                <w:rFonts w:eastAsia="Calibri" w:cs="Arial"/>
                <w:bCs/>
              </w:rPr>
              <w:t>Other Members not provided with overnight accommodation in the Parliamentary Annexe who stay in commercial accommodation facilities for an overnight stay</w:t>
            </w:r>
          </w:p>
        </w:tc>
        <w:tc>
          <w:tcPr>
            <w:tcW w:w="2214" w:type="dxa"/>
          </w:tcPr>
          <w:p w14:paraId="46FE3133" w14:textId="69872A9B" w:rsidR="004759FB" w:rsidRPr="00413F88" w:rsidRDefault="004759FB" w:rsidP="00CA1026">
            <w:pPr>
              <w:keepNext/>
              <w:keepLines/>
              <w:spacing w:line="257" w:lineRule="auto"/>
              <w:jc w:val="both"/>
              <w:rPr>
                <w:rFonts w:eastAsia="Calibri" w:cs="Arial"/>
                <w:bCs/>
              </w:rPr>
            </w:pPr>
            <w:r w:rsidRPr="00413F88">
              <w:rPr>
                <w:rFonts w:eastAsia="Calibri" w:cs="Arial"/>
                <w:bCs/>
              </w:rPr>
              <w:t>$</w:t>
            </w:r>
            <w:r>
              <w:rPr>
                <w:rFonts w:eastAsia="Calibri" w:cs="Arial"/>
                <w:bCs/>
              </w:rPr>
              <w:t>416</w:t>
            </w:r>
            <w:r w:rsidRPr="00413F88">
              <w:rPr>
                <w:rFonts w:eastAsia="Calibri" w:cs="Arial"/>
                <w:bCs/>
              </w:rPr>
              <w:t>.00 per day</w:t>
            </w:r>
          </w:p>
        </w:tc>
      </w:tr>
    </w:tbl>
    <w:p w14:paraId="3DC758D0" w14:textId="4A0EBA76" w:rsidR="003B503D" w:rsidRDefault="003B503D" w:rsidP="003B503D">
      <w:pPr>
        <w:pStyle w:val="ListParagraph"/>
        <w:spacing w:after="160" w:line="259" w:lineRule="auto"/>
        <w:rPr>
          <w:rFonts w:ascii="Arial" w:hAnsi="Arial" w:cs="Arial"/>
          <w:sz w:val="23"/>
          <w:szCs w:val="23"/>
        </w:rPr>
      </w:pPr>
    </w:p>
    <w:p w14:paraId="321410F7" w14:textId="77777777" w:rsidR="003B503D" w:rsidRDefault="003B503D">
      <w:pPr>
        <w:spacing w:after="160" w:line="259" w:lineRule="auto"/>
        <w:rPr>
          <w:rFonts w:eastAsia="PMingLiU" w:cs="Arial"/>
          <w:sz w:val="23"/>
          <w:szCs w:val="23"/>
          <w:lang w:eastAsia="en-AU"/>
        </w:rPr>
      </w:pPr>
      <w:r>
        <w:rPr>
          <w:rFonts w:cs="Arial"/>
          <w:sz w:val="23"/>
          <w:szCs w:val="23"/>
        </w:rPr>
        <w:br w:type="page"/>
      </w:r>
    </w:p>
    <w:p w14:paraId="32037791" w14:textId="77777777" w:rsidR="0018702A" w:rsidRDefault="0018702A" w:rsidP="003B503D">
      <w:pPr>
        <w:pStyle w:val="ListParagraph"/>
        <w:spacing w:after="160" w:line="259" w:lineRule="auto"/>
        <w:rPr>
          <w:rFonts w:ascii="Arial" w:hAnsi="Arial" w:cs="Arial"/>
          <w:sz w:val="23"/>
          <w:szCs w:val="23"/>
        </w:rPr>
      </w:pPr>
    </w:p>
    <w:p w14:paraId="283C5F20" w14:textId="6097B6C3" w:rsidR="00517F1A" w:rsidRPr="004368EC" w:rsidRDefault="0018702A" w:rsidP="003B503D">
      <w:pPr>
        <w:pStyle w:val="ListParagraph"/>
        <w:numPr>
          <w:ilvl w:val="0"/>
          <w:numId w:val="2"/>
        </w:numPr>
        <w:spacing w:before="160" w:after="160" w:line="259" w:lineRule="auto"/>
        <w:ind w:left="714" w:hanging="357"/>
        <w:contextualSpacing w:val="0"/>
        <w:jc w:val="both"/>
        <w:rPr>
          <w:rFonts w:ascii="Arial" w:hAnsi="Arial" w:cs="Arial"/>
          <w:sz w:val="23"/>
          <w:szCs w:val="23"/>
        </w:rPr>
      </w:pPr>
      <w:r>
        <w:rPr>
          <w:rFonts w:ascii="Arial" w:hAnsi="Arial" w:cs="Arial"/>
          <w:sz w:val="23"/>
          <w:szCs w:val="23"/>
        </w:rPr>
        <w:t>The</w:t>
      </w:r>
      <w:r w:rsidR="00517F1A">
        <w:rPr>
          <w:rFonts w:ascii="Arial" w:hAnsi="Arial" w:cs="Arial"/>
          <w:sz w:val="23"/>
          <w:szCs w:val="23"/>
        </w:rPr>
        <w:t xml:space="preserve"> Tribunal determines that </w:t>
      </w:r>
      <w:r>
        <w:rPr>
          <w:rFonts w:ascii="Arial" w:hAnsi="Arial" w:cs="Arial"/>
          <w:sz w:val="23"/>
          <w:szCs w:val="23"/>
        </w:rPr>
        <w:t xml:space="preserve">the change in the Parliamentary Business Overnight Rate will apply from 1 January 2023. </w:t>
      </w:r>
    </w:p>
    <w:p w14:paraId="651B69C3" w14:textId="77777777" w:rsidR="006D780E" w:rsidRDefault="006D780E" w:rsidP="006D780E">
      <w:pPr>
        <w:spacing w:after="160" w:line="259" w:lineRule="auto"/>
        <w:rPr>
          <w:rFonts w:cs="Arial"/>
          <w:sz w:val="23"/>
          <w:szCs w:val="23"/>
        </w:rPr>
      </w:pPr>
    </w:p>
    <w:p w14:paraId="67B5392D" w14:textId="56BA9697" w:rsidR="006D780E" w:rsidRDefault="006D780E" w:rsidP="006D780E">
      <w:pPr>
        <w:jc w:val="right"/>
        <w:rPr>
          <w:rFonts w:cs="Arial"/>
          <w:b/>
          <w:sz w:val="23"/>
          <w:szCs w:val="23"/>
        </w:rPr>
      </w:pPr>
      <w:r w:rsidRPr="001C349E">
        <w:rPr>
          <w:rFonts w:cs="Arial"/>
          <w:b/>
          <w:sz w:val="23"/>
          <w:szCs w:val="23"/>
        </w:rPr>
        <w:t xml:space="preserve">Date of Determination: </w:t>
      </w:r>
      <w:r w:rsidR="00A1077D">
        <w:rPr>
          <w:rFonts w:cs="Arial"/>
          <w:b/>
          <w:sz w:val="23"/>
          <w:szCs w:val="23"/>
        </w:rPr>
        <w:t>2</w:t>
      </w:r>
      <w:r w:rsidR="0038654A">
        <w:rPr>
          <w:rFonts w:cs="Arial"/>
          <w:b/>
          <w:sz w:val="23"/>
          <w:szCs w:val="23"/>
        </w:rPr>
        <w:t>7</w:t>
      </w:r>
      <w:r>
        <w:rPr>
          <w:rFonts w:cs="Arial"/>
          <w:b/>
          <w:sz w:val="23"/>
          <w:szCs w:val="23"/>
        </w:rPr>
        <w:t xml:space="preserve"> </w:t>
      </w:r>
      <w:r w:rsidR="004368EC">
        <w:rPr>
          <w:rFonts w:cs="Arial"/>
          <w:b/>
          <w:sz w:val="23"/>
          <w:szCs w:val="23"/>
        </w:rPr>
        <w:t>March 2023</w:t>
      </w:r>
    </w:p>
    <w:p w14:paraId="55FE9922" w14:textId="11018951" w:rsidR="006D780E" w:rsidRPr="005D117A" w:rsidRDefault="006D780E" w:rsidP="006D780E">
      <w:pPr>
        <w:rPr>
          <w:rFonts w:cs="Arial"/>
          <w:b/>
        </w:rPr>
      </w:pPr>
    </w:p>
    <w:p w14:paraId="3CC7DB54" w14:textId="2EECDC47" w:rsidR="006D780E" w:rsidRPr="00552739" w:rsidRDefault="009C52B6" w:rsidP="006D780E">
      <w:pPr>
        <w:rPr>
          <w:rFonts w:cs="Arial"/>
          <w:b/>
          <w:sz w:val="10"/>
          <w:szCs w:val="10"/>
        </w:rPr>
      </w:pPr>
      <w:r>
        <w:rPr>
          <w:rFonts w:cs="Arial"/>
          <w:b/>
          <w:sz w:val="10"/>
          <w:szCs w:val="10"/>
        </w:rPr>
        <w:tab/>
      </w:r>
      <w:r>
        <w:rPr>
          <w:rFonts w:cs="Arial"/>
          <w:b/>
          <w:sz w:val="10"/>
          <w:szCs w:val="10"/>
        </w:rPr>
        <w:tab/>
      </w:r>
    </w:p>
    <w:p w14:paraId="5A35F324" w14:textId="584FCC7E" w:rsidR="006D780E" w:rsidRPr="005D117A" w:rsidRDefault="006D780E" w:rsidP="006D780E">
      <w:pPr>
        <w:rPr>
          <w:rFonts w:cs="Arial"/>
          <w:b/>
        </w:rPr>
      </w:pPr>
      <w:r w:rsidRPr="005D117A">
        <w:rPr>
          <w:rFonts w:cs="Arial"/>
          <w:b/>
        </w:rPr>
        <w:t>____________</w:t>
      </w:r>
      <w:r>
        <w:rPr>
          <w:rFonts w:cs="Arial"/>
          <w:b/>
        </w:rPr>
        <w:t>___________</w:t>
      </w:r>
      <w:r>
        <w:rPr>
          <w:rFonts w:cs="Arial"/>
          <w:b/>
        </w:rPr>
        <w:tab/>
      </w:r>
      <w:r>
        <w:rPr>
          <w:rFonts w:cs="Arial"/>
          <w:b/>
        </w:rPr>
        <w:tab/>
        <w:t>___________________</w:t>
      </w:r>
      <w:r>
        <w:rPr>
          <w:rFonts w:cs="Arial"/>
          <w:b/>
        </w:rPr>
        <w:tab/>
      </w:r>
      <w:r>
        <w:rPr>
          <w:rFonts w:cs="Arial"/>
          <w:b/>
        </w:rPr>
        <w:tab/>
      </w:r>
      <w:r w:rsidRPr="005D117A">
        <w:rPr>
          <w:rFonts w:cs="Arial"/>
          <w:b/>
        </w:rPr>
        <w:t>___________________</w:t>
      </w:r>
    </w:p>
    <w:p w14:paraId="62BD8CCF" w14:textId="66EA9D4E" w:rsidR="006D780E" w:rsidRPr="0009456D" w:rsidRDefault="004759FB" w:rsidP="006D780E">
      <w:pPr>
        <w:rPr>
          <w:rFonts w:cs="Arial"/>
          <w:b/>
          <w:sz w:val="23"/>
          <w:szCs w:val="23"/>
        </w:rPr>
      </w:pPr>
      <w:r>
        <w:rPr>
          <w:rFonts w:cs="Arial"/>
          <w:b/>
          <w:sz w:val="23"/>
          <w:szCs w:val="23"/>
        </w:rPr>
        <w:t>Keitha Dunstan</w:t>
      </w:r>
      <w:r w:rsidR="006D780E">
        <w:rPr>
          <w:rFonts w:cs="Arial"/>
          <w:b/>
          <w:sz w:val="23"/>
          <w:szCs w:val="23"/>
        </w:rPr>
        <w:tab/>
      </w:r>
      <w:r w:rsidR="006D780E">
        <w:rPr>
          <w:rFonts w:cs="Arial"/>
          <w:b/>
          <w:sz w:val="23"/>
          <w:szCs w:val="23"/>
        </w:rPr>
        <w:tab/>
      </w:r>
      <w:r w:rsidR="006D780E" w:rsidRPr="0009456D">
        <w:rPr>
          <w:rFonts w:cs="Arial"/>
          <w:b/>
          <w:sz w:val="23"/>
          <w:szCs w:val="23"/>
        </w:rPr>
        <w:tab/>
      </w:r>
      <w:r>
        <w:rPr>
          <w:rFonts w:cs="Arial"/>
          <w:b/>
          <w:sz w:val="23"/>
          <w:szCs w:val="23"/>
        </w:rPr>
        <w:t>Jim Varghese</w:t>
      </w:r>
      <w:r w:rsidR="006D780E">
        <w:rPr>
          <w:rFonts w:cs="Arial"/>
          <w:b/>
          <w:sz w:val="23"/>
          <w:szCs w:val="23"/>
        </w:rPr>
        <w:tab/>
      </w:r>
      <w:r w:rsidR="006D780E" w:rsidRPr="0009456D">
        <w:rPr>
          <w:rFonts w:cs="Arial"/>
          <w:b/>
          <w:sz w:val="23"/>
          <w:szCs w:val="23"/>
        </w:rPr>
        <w:tab/>
      </w:r>
      <w:r>
        <w:rPr>
          <w:rFonts w:cs="Arial"/>
          <w:b/>
          <w:sz w:val="23"/>
          <w:szCs w:val="23"/>
        </w:rPr>
        <w:t>Patrick Weller</w:t>
      </w:r>
    </w:p>
    <w:p w14:paraId="5B99CFCF" w14:textId="58173769" w:rsidR="00D50268" w:rsidRDefault="006D780E" w:rsidP="00C416BE">
      <w:pPr>
        <w:rPr>
          <w:rFonts w:cs="Arial"/>
          <w:b/>
          <w:sz w:val="23"/>
          <w:szCs w:val="23"/>
        </w:rPr>
      </w:pPr>
      <w:r w:rsidRPr="0009456D">
        <w:rPr>
          <w:rFonts w:cs="Arial"/>
          <w:b/>
          <w:sz w:val="23"/>
          <w:szCs w:val="23"/>
        </w:rPr>
        <w:t>Chair</w:t>
      </w:r>
      <w:r>
        <w:rPr>
          <w:rFonts w:cs="Arial"/>
          <w:b/>
          <w:sz w:val="23"/>
          <w:szCs w:val="23"/>
        </w:rPr>
        <w:t>person</w:t>
      </w:r>
      <w:r w:rsidRPr="0009456D">
        <w:rPr>
          <w:rFonts w:cs="Arial"/>
          <w:b/>
          <w:sz w:val="23"/>
          <w:szCs w:val="23"/>
        </w:rPr>
        <w:tab/>
      </w:r>
      <w:r w:rsidRPr="0009456D">
        <w:rPr>
          <w:rFonts w:cs="Arial"/>
          <w:b/>
          <w:sz w:val="23"/>
          <w:szCs w:val="23"/>
        </w:rPr>
        <w:tab/>
      </w:r>
      <w:r w:rsidRPr="0009456D">
        <w:rPr>
          <w:rFonts w:cs="Arial"/>
          <w:b/>
          <w:sz w:val="23"/>
          <w:szCs w:val="23"/>
        </w:rPr>
        <w:tab/>
      </w:r>
      <w:r w:rsidRPr="0009456D">
        <w:rPr>
          <w:rFonts w:cs="Arial"/>
          <w:b/>
          <w:sz w:val="23"/>
          <w:szCs w:val="23"/>
        </w:rPr>
        <w:tab/>
        <w:t xml:space="preserve">Member </w:t>
      </w:r>
      <w:r w:rsidRPr="0009456D">
        <w:rPr>
          <w:rFonts w:cs="Arial"/>
          <w:b/>
          <w:sz w:val="23"/>
          <w:szCs w:val="23"/>
        </w:rPr>
        <w:tab/>
      </w:r>
      <w:r w:rsidRPr="0009456D">
        <w:rPr>
          <w:rFonts w:cs="Arial"/>
          <w:b/>
          <w:sz w:val="23"/>
          <w:szCs w:val="23"/>
        </w:rPr>
        <w:tab/>
      </w:r>
      <w:r w:rsidRPr="0009456D">
        <w:rPr>
          <w:rFonts w:cs="Arial"/>
          <w:b/>
          <w:sz w:val="23"/>
          <w:szCs w:val="23"/>
        </w:rPr>
        <w:tab/>
        <w:t xml:space="preserve">Member </w:t>
      </w:r>
    </w:p>
    <w:p w14:paraId="0DB59256" w14:textId="77777777" w:rsidR="00177167" w:rsidRDefault="00177167" w:rsidP="00C416BE"/>
    <w:sectPr w:rsidR="00177167" w:rsidSect="007026B1">
      <w:footerReference w:type="default" r:id="rId17"/>
      <w:type w:val="continuous"/>
      <w:pgSz w:w="11906" w:h="16838"/>
      <w:pgMar w:top="1702" w:right="1440" w:bottom="851"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8577" w14:textId="77777777" w:rsidR="00C570A7" w:rsidRDefault="00C570A7" w:rsidP="006C46C5">
      <w:pPr>
        <w:spacing w:after="0"/>
      </w:pPr>
      <w:r>
        <w:separator/>
      </w:r>
    </w:p>
  </w:endnote>
  <w:endnote w:type="continuationSeparator" w:id="0">
    <w:p w14:paraId="557C4E4C" w14:textId="77777777" w:rsidR="00C570A7" w:rsidRDefault="00C570A7" w:rsidP="006C4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etaNormalLF-Roma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371686"/>
      <w:docPartObj>
        <w:docPartGallery w:val="Page Numbers (Bottom of Page)"/>
        <w:docPartUnique/>
      </w:docPartObj>
    </w:sdtPr>
    <w:sdtEndPr>
      <w:rPr>
        <w:noProof/>
      </w:rPr>
    </w:sdtEndPr>
    <w:sdtContent>
      <w:p w14:paraId="5DC55206" w14:textId="77777777" w:rsidR="00842B48" w:rsidRDefault="00842B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E8A810" w14:textId="77777777" w:rsidR="00842B48" w:rsidRDefault="00842B48" w:rsidP="0088389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3920" w14:textId="77777777" w:rsidR="004759FB" w:rsidRDefault="00475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D548" w14:textId="77777777" w:rsidR="004759FB" w:rsidRDefault="004759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811745"/>
      <w:docPartObj>
        <w:docPartGallery w:val="Page Numbers (Bottom of Page)"/>
        <w:docPartUnique/>
      </w:docPartObj>
    </w:sdtPr>
    <w:sdtEndPr>
      <w:rPr>
        <w:noProof/>
      </w:rPr>
    </w:sdtEndPr>
    <w:sdtContent>
      <w:p w14:paraId="59C0606D" w14:textId="77777777" w:rsidR="007026B1" w:rsidRDefault="007026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400E76" w14:textId="77777777" w:rsidR="007026B1" w:rsidRDefault="007026B1" w:rsidP="008838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B0FC" w14:textId="77777777" w:rsidR="00C570A7" w:rsidRDefault="00C570A7" w:rsidP="006C46C5">
      <w:pPr>
        <w:spacing w:after="0"/>
      </w:pPr>
      <w:r>
        <w:separator/>
      </w:r>
    </w:p>
  </w:footnote>
  <w:footnote w:type="continuationSeparator" w:id="0">
    <w:p w14:paraId="038F3FF0" w14:textId="77777777" w:rsidR="00C570A7" w:rsidRDefault="00C570A7" w:rsidP="006C46C5">
      <w:pPr>
        <w:spacing w:after="0"/>
      </w:pPr>
      <w:r>
        <w:continuationSeparator/>
      </w:r>
    </w:p>
  </w:footnote>
  <w:footnote w:id="1">
    <w:p w14:paraId="5DAC3F57" w14:textId="6A2AECDD" w:rsidR="00E4735A" w:rsidRPr="00E75091" w:rsidRDefault="00E4735A" w:rsidP="00E4735A">
      <w:pPr>
        <w:pStyle w:val="FootnoteText"/>
        <w:rPr>
          <w:rFonts w:ascii="Arial" w:hAnsi="Arial" w:cs="Arial"/>
          <w:lang w:val="en-US"/>
        </w:rPr>
      </w:pPr>
      <w:r w:rsidRPr="00E75091">
        <w:rPr>
          <w:rStyle w:val="FootnoteReference"/>
          <w:rFonts w:ascii="Arial" w:hAnsi="Arial" w:cs="Arial"/>
        </w:rPr>
        <w:footnoteRef/>
      </w:r>
      <w:r w:rsidRPr="00E75091">
        <w:rPr>
          <w:rFonts w:ascii="Arial" w:hAnsi="Arial" w:cs="Arial"/>
        </w:rPr>
        <w:t xml:space="preserve"> </w:t>
      </w:r>
      <w:r w:rsidRPr="00E75091">
        <w:rPr>
          <w:rFonts w:ascii="Arial" w:hAnsi="Arial" w:cs="Arial"/>
          <w:lang w:val="en-US"/>
        </w:rPr>
        <w:t xml:space="preserve">Definition of Parliamentary Business includes Parliamentary Committee business and is provided at p.23 of the </w:t>
      </w:r>
      <w:r w:rsidRPr="00E75091">
        <w:rPr>
          <w:rFonts w:ascii="Arial" w:hAnsi="Arial" w:cs="Arial"/>
          <w:i/>
          <w:iCs/>
          <w:lang w:val="en-US"/>
        </w:rPr>
        <w:t>Remuneration Handbook</w:t>
      </w:r>
      <w:r w:rsidRPr="00E75091">
        <w:rPr>
          <w:rFonts w:ascii="Arial" w:hAnsi="Arial" w:cs="Arial"/>
          <w:lang w:val="en-US"/>
        </w:rPr>
        <w:t xml:space="preserve"> available at</w:t>
      </w:r>
      <w:r w:rsidR="00E75091" w:rsidRPr="00E75091">
        <w:rPr>
          <w:rFonts w:ascii="Arial" w:hAnsi="Arial" w:cs="Arial"/>
          <w:lang w:val="en-US"/>
        </w:rPr>
        <w:t xml:space="preserve"> </w:t>
      </w:r>
      <w:r w:rsidR="00E75091" w:rsidRPr="00E75091">
        <w:rPr>
          <w:rFonts w:ascii="Arial" w:hAnsi="Arial" w:cs="Arial"/>
        </w:rPr>
        <w:t>https://www.parliament.qld.gov.au/Members/Members-and-Former-Members-Entitlements</w:t>
      </w:r>
    </w:p>
  </w:footnote>
  <w:footnote w:id="2">
    <w:p w14:paraId="77524A1E" w14:textId="592DDC59" w:rsidR="009E0C71" w:rsidRPr="00E75091" w:rsidRDefault="009E0C71">
      <w:pPr>
        <w:pStyle w:val="FootnoteText"/>
        <w:rPr>
          <w:rFonts w:ascii="Arial" w:hAnsi="Arial" w:cs="Arial"/>
          <w:lang w:val="en-US"/>
        </w:rPr>
      </w:pPr>
      <w:r w:rsidRPr="00E75091">
        <w:rPr>
          <w:rStyle w:val="FootnoteReference"/>
          <w:rFonts w:ascii="Arial" w:hAnsi="Arial" w:cs="Arial"/>
        </w:rPr>
        <w:footnoteRef/>
      </w:r>
      <w:r w:rsidRPr="00E75091">
        <w:rPr>
          <w:rFonts w:ascii="Arial" w:hAnsi="Arial" w:cs="Arial"/>
        </w:rPr>
        <w:t xml:space="preserve"> </w:t>
      </w:r>
      <w:r w:rsidR="00E75091" w:rsidRPr="00E75091">
        <w:rPr>
          <w:rFonts w:ascii="Arial" w:hAnsi="Arial" w:cs="Arial"/>
        </w:rPr>
        <w:t>https://www.racq.com.au/about-us/news-and-media/news/2022/12/racq-vehicle-operating-costs-2022</w:t>
      </w:r>
    </w:p>
  </w:footnote>
  <w:footnote w:id="3">
    <w:p w14:paraId="7A8C2288" w14:textId="3BDF1051" w:rsidR="009E0C71" w:rsidRPr="00E75091" w:rsidRDefault="009E0C71">
      <w:pPr>
        <w:pStyle w:val="FootnoteText"/>
        <w:rPr>
          <w:rFonts w:ascii="Arial" w:hAnsi="Arial" w:cs="Arial"/>
          <w:lang w:val="en-US"/>
        </w:rPr>
      </w:pPr>
      <w:r w:rsidRPr="00E75091">
        <w:rPr>
          <w:rStyle w:val="FootnoteReference"/>
          <w:rFonts w:ascii="Arial" w:hAnsi="Arial" w:cs="Arial"/>
        </w:rPr>
        <w:footnoteRef/>
      </w:r>
      <w:r w:rsidRPr="00E75091">
        <w:rPr>
          <w:rFonts w:ascii="Arial" w:hAnsi="Arial" w:cs="Arial"/>
        </w:rPr>
        <w:t xml:space="preserve"> </w:t>
      </w:r>
      <w:r w:rsidR="00E75091" w:rsidRPr="00E75091">
        <w:rPr>
          <w:rFonts w:ascii="Arial" w:hAnsi="Arial" w:cs="Arial"/>
        </w:rPr>
        <w:t>https://www.racq.com.au/car/fair-fuel-prices</w:t>
      </w:r>
    </w:p>
  </w:footnote>
  <w:footnote w:id="4">
    <w:p w14:paraId="51505FA7" w14:textId="6AD42E55" w:rsidR="00572548" w:rsidRPr="00E75091" w:rsidRDefault="00572548" w:rsidP="00572548">
      <w:pPr>
        <w:pStyle w:val="FootnoteText"/>
        <w:rPr>
          <w:rFonts w:ascii="Arial" w:hAnsi="Arial" w:cs="Arial"/>
        </w:rPr>
      </w:pPr>
      <w:r w:rsidRPr="00E75091">
        <w:rPr>
          <w:rStyle w:val="FootnoteReference"/>
          <w:rFonts w:ascii="Arial" w:hAnsi="Arial" w:cs="Arial"/>
        </w:rPr>
        <w:footnoteRef/>
      </w:r>
      <w:r w:rsidRPr="00E75091">
        <w:rPr>
          <w:rFonts w:ascii="Arial" w:hAnsi="Arial" w:cs="Arial"/>
        </w:rPr>
        <w:t xml:space="preserve"> </w:t>
      </w:r>
      <w:r w:rsidR="00E75091" w:rsidRPr="00E75091">
        <w:rPr>
          <w:rFonts w:ascii="Arial" w:hAnsi="Arial" w:cs="Arial"/>
        </w:rPr>
        <w:t>https://www.ato.gov.au/law/view/document?docid=TXD/TD202210/NAT/ATO/00001#H44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F244" w14:textId="02C21344" w:rsidR="006D759D" w:rsidRDefault="006D759D" w:rsidP="00C42191">
    <w:pPr>
      <w:jc w:val="right"/>
      <w:rPr>
        <w:rFonts w:cs="Arial"/>
      </w:rPr>
    </w:pPr>
    <w:r>
      <w:rPr>
        <w:noProof/>
        <w:lang w:val="en-US"/>
      </w:rPr>
      <w:drawing>
        <wp:anchor distT="0" distB="0" distL="114300" distR="114300" simplePos="0" relativeHeight="251697152" behindDoc="1" locked="0" layoutInCell="1" allowOverlap="1" wp14:anchorId="6A69D538" wp14:editId="4026FF77">
          <wp:simplePos x="0" y="0"/>
          <wp:positionH relativeFrom="margin">
            <wp:posOffset>3286125</wp:posOffset>
          </wp:positionH>
          <wp:positionV relativeFrom="page">
            <wp:posOffset>249555</wp:posOffset>
          </wp:positionV>
          <wp:extent cx="2844165" cy="498475"/>
          <wp:effectExtent l="0" t="0" r="0" b="0"/>
          <wp:wrapNone/>
          <wp:docPr id="4" name="Picture 4"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t="3" b="29897"/>
                  <a:stretch>
                    <a:fillRect/>
                  </a:stretch>
                </pic:blipFill>
                <pic:spPr bwMode="auto">
                  <a:xfrm>
                    <a:off x="0" y="0"/>
                    <a:ext cx="284416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1E6AC" w14:textId="77777777" w:rsidR="006D759D" w:rsidRDefault="006D759D" w:rsidP="00C42191">
    <w:pPr>
      <w:jc w:val="right"/>
      <w:rPr>
        <w:rFonts w:cs="Arial"/>
      </w:rPr>
    </w:pPr>
  </w:p>
  <w:p w14:paraId="3E9F73C1" w14:textId="3F34EDCF" w:rsidR="00842B48" w:rsidRPr="00C42191" w:rsidRDefault="00C42191" w:rsidP="00C42191">
    <w:pPr>
      <w:jc w:val="right"/>
      <w:rPr>
        <w:rFonts w:cs="Arial"/>
      </w:rPr>
    </w:pPr>
    <w:r w:rsidRPr="00933321">
      <w:rPr>
        <w:rFonts w:cs="Arial"/>
      </w:rPr>
      <w:t xml:space="preserve">Determination </w:t>
    </w:r>
    <w:r>
      <w:rPr>
        <w:rFonts w:cs="Arial"/>
      </w:rPr>
      <w:t>27/2023</w:t>
    </w:r>
    <w:r w:rsidR="00842B48">
      <w:rPr>
        <w:noProof/>
        <w:lang w:eastAsia="en-AU"/>
      </w:rPr>
      <w:drawing>
        <wp:anchor distT="0" distB="0" distL="114300" distR="114300" simplePos="0" relativeHeight="251691008" behindDoc="0" locked="0" layoutInCell="1" allowOverlap="1" wp14:anchorId="5C470140" wp14:editId="7DB3EA9E">
          <wp:simplePos x="0" y="0"/>
          <wp:positionH relativeFrom="page">
            <wp:posOffset>12065</wp:posOffset>
          </wp:positionH>
          <wp:positionV relativeFrom="paragraph">
            <wp:posOffset>-452755</wp:posOffset>
          </wp:positionV>
          <wp:extent cx="200025" cy="10687050"/>
          <wp:effectExtent l="0" t="0" r="9525" b="0"/>
          <wp:wrapSquare wrapText="bothSides"/>
          <wp:docPr id="29" name="Picture 29"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7A07" w14:textId="6D9FD692" w:rsidR="00842B48" w:rsidRDefault="00842B48">
    <w:pPr>
      <w:pStyle w:val="Header"/>
    </w:pPr>
    <w:r>
      <w:rPr>
        <w:noProof/>
      </w:rPr>
      <w:drawing>
        <wp:anchor distT="0" distB="0" distL="114300" distR="114300" simplePos="0" relativeHeight="251693056" behindDoc="1" locked="0" layoutInCell="1" allowOverlap="1" wp14:anchorId="69C7087E" wp14:editId="19B51B4A">
          <wp:simplePos x="0" y="0"/>
          <wp:positionH relativeFrom="page">
            <wp:posOffset>28575</wp:posOffset>
          </wp:positionH>
          <wp:positionV relativeFrom="page">
            <wp:align>top</wp:align>
          </wp:positionV>
          <wp:extent cx="7553325" cy="10658475"/>
          <wp:effectExtent l="0" t="0" r="9525" b="9525"/>
          <wp:wrapNone/>
          <wp:docPr id="30" name="Picture 30" descr="Chart, radar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descr="Chart, radar chart, scatter chart&#10;&#10;Description automatically generated"/>
                  <pic:cNvPicPr/>
                </pic:nvPicPr>
                <pic:blipFill rotWithShape="1">
                  <a:blip r:embed="rId1">
                    <a:extLst>
                      <a:ext uri="{28A0092B-C50C-407E-A947-70E740481C1C}">
                        <a14:useLocalDpi xmlns:a14="http://schemas.microsoft.com/office/drawing/2010/main" val="0"/>
                      </a:ext>
                    </a:extLst>
                  </a:blip>
                  <a:srcRect t="1970" r="-347"/>
                  <a:stretch/>
                </pic:blipFill>
                <pic:spPr bwMode="auto">
                  <a:xfrm>
                    <a:off x="0" y="0"/>
                    <a:ext cx="7553325" cy="10658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89C6" w14:textId="178B110A" w:rsidR="004759FB" w:rsidRDefault="004759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22D7" w14:textId="5F56348A" w:rsidR="00F0580B" w:rsidRDefault="006D759D" w:rsidP="00800DA7">
    <w:pPr>
      <w:pStyle w:val="Header"/>
      <w:jc w:val="right"/>
      <w:rPr>
        <w:rFonts w:cs="Arial"/>
      </w:rPr>
    </w:pPr>
    <w:r>
      <w:rPr>
        <w:noProof/>
      </w:rPr>
      <w:drawing>
        <wp:anchor distT="0" distB="0" distL="114300" distR="114300" simplePos="0" relativeHeight="251666432" behindDoc="0" locked="0" layoutInCell="1" allowOverlap="1" wp14:anchorId="73C995F1" wp14:editId="0EBA1E20">
          <wp:simplePos x="0" y="0"/>
          <wp:positionH relativeFrom="page">
            <wp:align>left</wp:align>
          </wp:positionH>
          <wp:positionV relativeFrom="paragraph">
            <wp:posOffset>-445135</wp:posOffset>
          </wp:positionV>
          <wp:extent cx="200025" cy="10687050"/>
          <wp:effectExtent l="0" t="0" r="9525" b="0"/>
          <wp:wrapSquare wrapText="bothSides"/>
          <wp:docPr id="22" name="Picture 22"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80B">
      <w:rPr>
        <w:noProof/>
        <w:lang w:val="en-US"/>
      </w:rPr>
      <w:drawing>
        <wp:anchor distT="0" distB="0" distL="114300" distR="114300" simplePos="0" relativeHeight="251695104" behindDoc="1" locked="0" layoutInCell="1" allowOverlap="1" wp14:anchorId="6D786185" wp14:editId="636143D4">
          <wp:simplePos x="0" y="0"/>
          <wp:positionH relativeFrom="margin">
            <wp:posOffset>3039745</wp:posOffset>
          </wp:positionH>
          <wp:positionV relativeFrom="page">
            <wp:posOffset>220345</wp:posOffset>
          </wp:positionV>
          <wp:extent cx="2844165" cy="498475"/>
          <wp:effectExtent l="0" t="0" r="0" b="0"/>
          <wp:wrapNone/>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3" b="29897"/>
                  <a:stretch>
                    <a:fillRect/>
                  </a:stretch>
                </pic:blipFill>
                <pic:spPr bwMode="auto">
                  <a:xfrm>
                    <a:off x="0" y="0"/>
                    <a:ext cx="284416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8A1CA" w14:textId="66A7D625" w:rsidR="00F0580B" w:rsidRDefault="006D759D" w:rsidP="006D759D">
    <w:pPr>
      <w:pStyle w:val="Header"/>
      <w:tabs>
        <w:tab w:val="left" w:pos="1395"/>
      </w:tabs>
      <w:rPr>
        <w:rFonts w:cs="Arial"/>
      </w:rPr>
    </w:pPr>
    <w:r>
      <w:rPr>
        <w:rFonts w:cs="Arial"/>
      </w:rPr>
      <w:tab/>
    </w:r>
    <w:r>
      <w:rPr>
        <w:rFonts w:cs="Arial"/>
      </w:rPr>
      <w:tab/>
    </w:r>
    <w:r>
      <w:rPr>
        <w:rFonts w:cs="Arial"/>
      </w:rPr>
      <w:tab/>
    </w:r>
  </w:p>
  <w:p w14:paraId="1426BE6E" w14:textId="6D4D3E36" w:rsidR="008322F0" w:rsidRDefault="00800DA7" w:rsidP="00800DA7">
    <w:pPr>
      <w:pStyle w:val="Header"/>
      <w:jc w:val="right"/>
      <w:rPr>
        <w:rFonts w:cs="Arial"/>
      </w:rPr>
    </w:pPr>
    <w:r w:rsidRPr="00933321">
      <w:rPr>
        <w:rFonts w:cs="Arial"/>
      </w:rPr>
      <w:t xml:space="preserve">Determination </w:t>
    </w:r>
    <w:r>
      <w:rPr>
        <w:rFonts w:cs="Arial"/>
      </w:rPr>
      <w:t>27/2023</w:t>
    </w:r>
  </w:p>
  <w:p w14:paraId="0235E129" w14:textId="24836213" w:rsidR="006C46C5" w:rsidRPr="006C46C5" w:rsidRDefault="006C46C5" w:rsidP="00800DA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33EE" w14:textId="47A17179" w:rsidR="00F35B74" w:rsidRDefault="00F35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CAB2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FB7309"/>
    <w:multiLevelType w:val="hybridMultilevel"/>
    <w:tmpl w:val="EC60E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3283D"/>
    <w:multiLevelType w:val="hybridMultilevel"/>
    <w:tmpl w:val="2244F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727E09"/>
    <w:multiLevelType w:val="hybridMultilevel"/>
    <w:tmpl w:val="D8CC8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B7E78"/>
    <w:multiLevelType w:val="hybridMultilevel"/>
    <w:tmpl w:val="41D4C1F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189F4E97"/>
    <w:multiLevelType w:val="hybridMultilevel"/>
    <w:tmpl w:val="2F180822"/>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19254920"/>
    <w:multiLevelType w:val="hybridMultilevel"/>
    <w:tmpl w:val="2244F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825062"/>
    <w:multiLevelType w:val="hybridMultilevel"/>
    <w:tmpl w:val="792E5D06"/>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F3F7DFA"/>
    <w:multiLevelType w:val="hybridMultilevel"/>
    <w:tmpl w:val="265AD588"/>
    <w:lvl w:ilvl="0" w:tplc="260628E4">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9" w15:restartNumberingAfterBreak="0">
    <w:nsid w:val="29C75F6E"/>
    <w:multiLevelType w:val="hybridMultilevel"/>
    <w:tmpl w:val="2244F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604072"/>
    <w:multiLevelType w:val="hybridMultilevel"/>
    <w:tmpl w:val="E0720736"/>
    <w:lvl w:ilvl="0" w:tplc="0060AAB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4F5382"/>
    <w:multiLevelType w:val="hybridMultilevel"/>
    <w:tmpl w:val="2244F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9C2AB7"/>
    <w:multiLevelType w:val="hybridMultilevel"/>
    <w:tmpl w:val="EC922AF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48830CE7"/>
    <w:multiLevelType w:val="hybridMultilevel"/>
    <w:tmpl w:val="2244F2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B66CA0"/>
    <w:multiLevelType w:val="hybridMultilevel"/>
    <w:tmpl w:val="1348E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5B0824"/>
    <w:multiLevelType w:val="hybridMultilevel"/>
    <w:tmpl w:val="DAFA4066"/>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6" w15:restartNumberingAfterBreak="0">
    <w:nsid w:val="56EE3865"/>
    <w:multiLevelType w:val="hybridMultilevel"/>
    <w:tmpl w:val="9284379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C52D1A"/>
    <w:multiLevelType w:val="hybridMultilevel"/>
    <w:tmpl w:val="7A0CC22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45F6A5B"/>
    <w:multiLevelType w:val="hybridMultilevel"/>
    <w:tmpl w:val="E01405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2F489C"/>
    <w:multiLevelType w:val="hybridMultilevel"/>
    <w:tmpl w:val="1F046176"/>
    <w:lvl w:ilvl="0" w:tplc="0C09000F">
      <w:start w:val="1"/>
      <w:numFmt w:val="decimal"/>
      <w:lvlText w:val="%1."/>
      <w:lvlJc w:val="left"/>
      <w:pPr>
        <w:ind w:left="1064" w:hanging="720"/>
      </w:pPr>
      <w:rPr>
        <w:rFonts w:hint="default"/>
      </w:rPr>
    </w:lvl>
    <w:lvl w:ilvl="1" w:tplc="FFFFFFFF" w:tentative="1">
      <w:start w:val="1"/>
      <w:numFmt w:val="lowerLetter"/>
      <w:lvlText w:val="%2."/>
      <w:lvlJc w:val="left"/>
      <w:pPr>
        <w:ind w:left="142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20" w15:restartNumberingAfterBreak="0">
    <w:nsid w:val="6B67216E"/>
    <w:multiLevelType w:val="hybridMultilevel"/>
    <w:tmpl w:val="7820C5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6370B6"/>
    <w:multiLevelType w:val="hybridMultilevel"/>
    <w:tmpl w:val="2244F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F84875"/>
    <w:multiLevelType w:val="hybridMultilevel"/>
    <w:tmpl w:val="314CB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2C6B09"/>
    <w:multiLevelType w:val="hybridMultilevel"/>
    <w:tmpl w:val="29C83A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B2321C"/>
    <w:multiLevelType w:val="hybridMultilevel"/>
    <w:tmpl w:val="2730A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B31368"/>
    <w:multiLevelType w:val="hybridMultilevel"/>
    <w:tmpl w:val="84B0E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226A67"/>
    <w:multiLevelType w:val="hybridMultilevel"/>
    <w:tmpl w:val="81785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DE34C8F"/>
    <w:multiLevelType w:val="hybridMultilevel"/>
    <w:tmpl w:val="7A0CC22C"/>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ED03B46"/>
    <w:multiLevelType w:val="hybridMultilevel"/>
    <w:tmpl w:val="6E52A252"/>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num w:numId="1" w16cid:durableId="2002930163">
    <w:abstractNumId w:val="0"/>
  </w:num>
  <w:num w:numId="2" w16cid:durableId="1747147010">
    <w:abstractNumId w:val="21"/>
  </w:num>
  <w:num w:numId="3" w16cid:durableId="876547074">
    <w:abstractNumId w:val="11"/>
  </w:num>
  <w:num w:numId="4" w16cid:durableId="1215921260">
    <w:abstractNumId w:val="26"/>
  </w:num>
  <w:num w:numId="5" w16cid:durableId="233591618">
    <w:abstractNumId w:val="17"/>
  </w:num>
  <w:num w:numId="6" w16cid:durableId="1469544116">
    <w:abstractNumId w:val="27"/>
  </w:num>
  <w:num w:numId="7" w16cid:durableId="574241688">
    <w:abstractNumId w:val="6"/>
  </w:num>
  <w:num w:numId="8" w16cid:durableId="1143304555">
    <w:abstractNumId w:val="9"/>
  </w:num>
  <w:num w:numId="9" w16cid:durableId="476456438">
    <w:abstractNumId w:val="13"/>
  </w:num>
  <w:num w:numId="10" w16cid:durableId="878586421">
    <w:abstractNumId w:val="16"/>
  </w:num>
  <w:num w:numId="11" w16cid:durableId="493106855">
    <w:abstractNumId w:val="8"/>
  </w:num>
  <w:num w:numId="12" w16cid:durableId="1480077650">
    <w:abstractNumId w:val="19"/>
  </w:num>
  <w:num w:numId="13" w16cid:durableId="136340555">
    <w:abstractNumId w:val="10"/>
  </w:num>
  <w:num w:numId="14" w16cid:durableId="184560655">
    <w:abstractNumId w:val="20"/>
  </w:num>
  <w:num w:numId="15" w16cid:durableId="301615088">
    <w:abstractNumId w:val="5"/>
  </w:num>
  <w:num w:numId="16" w16cid:durableId="927956707">
    <w:abstractNumId w:val="7"/>
  </w:num>
  <w:num w:numId="17" w16cid:durableId="1535540405">
    <w:abstractNumId w:val="1"/>
  </w:num>
  <w:num w:numId="18" w16cid:durableId="854810161">
    <w:abstractNumId w:val="24"/>
  </w:num>
  <w:num w:numId="19" w16cid:durableId="1179154175">
    <w:abstractNumId w:val="23"/>
  </w:num>
  <w:num w:numId="20" w16cid:durableId="1671593574">
    <w:abstractNumId w:val="25"/>
  </w:num>
  <w:num w:numId="21" w16cid:durableId="1531911717">
    <w:abstractNumId w:val="12"/>
  </w:num>
  <w:num w:numId="22" w16cid:durableId="1800680313">
    <w:abstractNumId w:val="22"/>
  </w:num>
  <w:num w:numId="23" w16cid:durableId="2029208536">
    <w:abstractNumId w:val="28"/>
  </w:num>
  <w:num w:numId="24" w16cid:durableId="18825990">
    <w:abstractNumId w:val="4"/>
  </w:num>
  <w:num w:numId="25" w16cid:durableId="1266110187">
    <w:abstractNumId w:val="14"/>
  </w:num>
  <w:num w:numId="26" w16cid:durableId="2042778904">
    <w:abstractNumId w:val="15"/>
  </w:num>
  <w:num w:numId="27" w16cid:durableId="898394134">
    <w:abstractNumId w:val="18"/>
  </w:num>
  <w:num w:numId="28" w16cid:durableId="449134619">
    <w:abstractNumId w:val="3"/>
  </w:num>
  <w:num w:numId="29" w16cid:durableId="1568808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BE"/>
    <w:rsid w:val="00006016"/>
    <w:rsid w:val="000202B8"/>
    <w:rsid w:val="000443B0"/>
    <w:rsid w:val="000B7998"/>
    <w:rsid w:val="000D0EBB"/>
    <w:rsid w:val="00103093"/>
    <w:rsid w:val="00122C37"/>
    <w:rsid w:val="00124256"/>
    <w:rsid w:val="001331B1"/>
    <w:rsid w:val="00141D87"/>
    <w:rsid w:val="00156DF6"/>
    <w:rsid w:val="001706D1"/>
    <w:rsid w:val="00177167"/>
    <w:rsid w:val="0018702A"/>
    <w:rsid w:val="001A4BDF"/>
    <w:rsid w:val="001B294E"/>
    <w:rsid w:val="001D3EAB"/>
    <w:rsid w:val="001E312F"/>
    <w:rsid w:val="00207089"/>
    <w:rsid w:val="002317FC"/>
    <w:rsid w:val="002459D9"/>
    <w:rsid w:val="002A2015"/>
    <w:rsid w:val="002C239F"/>
    <w:rsid w:val="002E3178"/>
    <w:rsid w:val="002E4E0C"/>
    <w:rsid w:val="002F55B4"/>
    <w:rsid w:val="003176AB"/>
    <w:rsid w:val="003322FF"/>
    <w:rsid w:val="003368C0"/>
    <w:rsid w:val="00357728"/>
    <w:rsid w:val="00360FD4"/>
    <w:rsid w:val="00373E68"/>
    <w:rsid w:val="003755CA"/>
    <w:rsid w:val="0038654A"/>
    <w:rsid w:val="003B503D"/>
    <w:rsid w:val="003C2E31"/>
    <w:rsid w:val="004368EC"/>
    <w:rsid w:val="00445BB9"/>
    <w:rsid w:val="00451143"/>
    <w:rsid w:val="004622D8"/>
    <w:rsid w:val="004759FB"/>
    <w:rsid w:val="004A30A2"/>
    <w:rsid w:val="00517F1A"/>
    <w:rsid w:val="00530921"/>
    <w:rsid w:val="005314E9"/>
    <w:rsid w:val="00572548"/>
    <w:rsid w:val="00586191"/>
    <w:rsid w:val="005926FD"/>
    <w:rsid w:val="005A16F4"/>
    <w:rsid w:val="005A4E95"/>
    <w:rsid w:val="00624386"/>
    <w:rsid w:val="00671ECA"/>
    <w:rsid w:val="006B4F4F"/>
    <w:rsid w:val="006C3551"/>
    <w:rsid w:val="006C46C5"/>
    <w:rsid w:val="006C5DB1"/>
    <w:rsid w:val="006D759D"/>
    <w:rsid w:val="006D780E"/>
    <w:rsid w:val="007026B1"/>
    <w:rsid w:val="007118CC"/>
    <w:rsid w:val="00714AB6"/>
    <w:rsid w:val="00721E25"/>
    <w:rsid w:val="00744890"/>
    <w:rsid w:val="00771AF5"/>
    <w:rsid w:val="007A2F75"/>
    <w:rsid w:val="007B6653"/>
    <w:rsid w:val="007D5ADD"/>
    <w:rsid w:val="00800DA7"/>
    <w:rsid w:val="00805909"/>
    <w:rsid w:val="00816804"/>
    <w:rsid w:val="008267D3"/>
    <w:rsid w:val="008322F0"/>
    <w:rsid w:val="00842B48"/>
    <w:rsid w:val="0089065E"/>
    <w:rsid w:val="00895320"/>
    <w:rsid w:val="008A5880"/>
    <w:rsid w:val="00903D96"/>
    <w:rsid w:val="00906A02"/>
    <w:rsid w:val="00926697"/>
    <w:rsid w:val="009317AC"/>
    <w:rsid w:val="00933321"/>
    <w:rsid w:val="00944415"/>
    <w:rsid w:val="00967509"/>
    <w:rsid w:val="0098171B"/>
    <w:rsid w:val="00985610"/>
    <w:rsid w:val="009C52B6"/>
    <w:rsid w:val="009E0C71"/>
    <w:rsid w:val="009E3299"/>
    <w:rsid w:val="009E5CA9"/>
    <w:rsid w:val="00A02038"/>
    <w:rsid w:val="00A1077D"/>
    <w:rsid w:val="00A4006C"/>
    <w:rsid w:val="00A46C83"/>
    <w:rsid w:val="00A667E5"/>
    <w:rsid w:val="00AA35F8"/>
    <w:rsid w:val="00AE7218"/>
    <w:rsid w:val="00B13393"/>
    <w:rsid w:val="00B23EB7"/>
    <w:rsid w:val="00B55331"/>
    <w:rsid w:val="00B67C9F"/>
    <w:rsid w:val="00BB06AF"/>
    <w:rsid w:val="00BB11B4"/>
    <w:rsid w:val="00BC40F1"/>
    <w:rsid w:val="00BC6ADD"/>
    <w:rsid w:val="00C00819"/>
    <w:rsid w:val="00C04338"/>
    <w:rsid w:val="00C21B30"/>
    <w:rsid w:val="00C416BE"/>
    <w:rsid w:val="00C42191"/>
    <w:rsid w:val="00C570A7"/>
    <w:rsid w:val="00C647C4"/>
    <w:rsid w:val="00D50268"/>
    <w:rsid w:val="00DB12CC"/>
    <w:rsid w:val="00DE5187"/>
    <w:rsid w:val="00DF3065"/>
    <w:rsid w:val="00DF591E"/>
    <w:rsid w:val="00DF594C"/>
    <w:rsid w:val="00E11BDD"/>
    <w:rsid w:val="00E16950"/>
    <w:rsid w:val="00E4735A"/>
    <w:rsid w:val="00E75091"/>
    <w:rsid w:val="00EA5D7E"/>
    <w:rsid w:val="00EC590E"/>
    <w:rsid w:val="00ED6F59"/>
    <w:rsid w:val="00EE0412"/>
    <w:rsid w:val="00EF32B1"/>
    <w:rsid w:val="00F0580B"/>
    <w:rsid w:val="00F12CE2"/>
    <w:rsid w:val="00F134A4"/>
    <w:rsid w:val="00F35B74"/>
    <w:rsid w:val="00F40C43"/>
    <w:rsid w:val="00F6080C"/>
    <w:rsid w:val="00F61A3C"/>
    <w:rsid w:val="00F67D20"/>
    <w:rsid w:val="00F864C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A0F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3299"/>
    <w:pPr>
      <w:spacing w:after="40" w:line="240" w:lineRule="auto"/>
    </w:pPr>
    <w:rPr>
      <w:rFonts w:ascii="Arial" w:hAnsi="Arial"/>
      <w:sz w:val="20"/>
    </w:rPr>
  </w:style>
  <w:style w:type="paragraph" w:styleId="Heading1">
    <w:name w:val="heading 1"/>
    <w:aliases w:val="Heading cover page"/>
    <w:basedOn w:val="Normal"/>
    <w:next w:val="Normal"/>
    <w:link w:val="Heading1Char"/>
    <w:uiPriority w:val="9"/>
    <w:qFormat/>
    <w:rsid w:val="00C416BE"/>
    <w:pPr>
      <w:keepNext/>
      <w:keepLines/>
      <w:spacing w:after="0"/>
      <w:outlineLvl w:val="0"/>
    </w:pPr>
    <w:rPr>
      <w:rFonts w:eastAsiaTheme="majorEastAsia" w:cstheme="majorBidi"/>
      <w:color w:val="06B6E4"/>
      <w:sz w:val="80"/>
      <w:szCs w:val="32"/>
    </w:rPr>
  </w:style>
  <w:style w:type="paragraph" w:styleId="Heading2">
    <w:name w:val="heading 2"/>
    <w:aliases w:val="Heading 2 cover"/>
    <w:basedOn w:val="Normal"/>
    <w:next w:val="Normal"/>
    <w:link w:val="Heading2Char"/>
    <w:uiPriority w:val="9"/>
    <w:unhideWhenUsed/>
    <w:qFormat/>
    <w:rsid w:val="001706D1"/>
    <w:pPr>
      <w:keepNext/>
      <w:keepLines/>
      <w:spacing w:after="120"/>
      <w:outlineLvl w:val="1"/>
    </w:pPr>
    <w:rPr>
      <w:rFonts w:eastAsiaTheme="majorEastAsia" w:cstheme="majorBidi"/>
      <w:color w:val="2E74B5"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6C5"/>
    <w:pPr>
      <w:tabs>
        <w:tab w:val="center" w:pos="4513"/>
        <w:tab w:val="right" w:pos="9026"/>
      </w:tabs>
      <w:spacing w:after="0"/>
    </w:pPr>
  </w:style>
  <w:style w:type="character" w:customStyle="1" w:styleId="HeaderChar">
    <w:name w:val="Header Char"/>
    <w:basedOn w:val="DefaultParagraphFont"/>
    <w:link w:val="Header"/>
    <w:uiPriority w:val="99"/>
    <w:rsid w:val="006C46C5"/>
  </w:style>
  <w:style w:type="paragraph" w:styleId="Footer">
    <w:name w:val="footer"/>
    <w:basedOn w:val="Normal"/>
    <w:link w:val="FooterChar"/>
    <w:uiPriority w:val="99"/>
    <w:unhideWhenUsed/>
    <w:rsid w:val="006C46C5"/>
    <w:pPr>
      <w:tabs>
        <w:tab w:val="center" w:pos="4513"/>
        <w:tab w:val="right" w:pos="9026"/>
      </w:tabs>
      <w:spacing w:after="0"/>
    </w:pPr>
  </w:style>
  <w:style w:type="character" w:customStyle="1" w:styleId="FooterChar">
    <w:name w:val="Footer Char"/>
    <w:basedOn w:val="DefaultParagraphFont"/>
    <w:link w:val="Footer"/>
    <w:uiPriority w:val="99"/>
    <w:rsid w:val="006C46C5"/>
  </w:style>
  <w:style w:type="paragraph" w:styleId="BalloonText">
    <w:name w:val="Balloon Text"/>
    <w:basedOn w:val="Normal"/>
    <w:link w:val="BalloonTextChar"/>
    <w:uiPriority w:val="99"/>
    <w:semiHidden/>
    <w:unhideWhenUsed/>
    <w:rsid w:val="00BB11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B4"/>
    <w:rPr>
      <w:rFonts w:ascii="Segoe UI" w:hAnsi="Segoe UI" w:cs="Segoe UI"/>
      <w:sz w:val="18"/>
      <w:szCs w:val="18"/>
    </w:rPr>
  </w:style>
  <w:style w:type="paragraph" w:styleId="NoSpacing">
    <w:name w:val="No Spacing"/>
    <w:link w:val="NoSpacingChar"/>
    <w:uiPriority w:val="1"/>
    <w:qFormat/>
    <w:rsid w:val="00F35B7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F35B74"/>
    <w:rPr>
      <w:rFonts w:eastAsiaTheme="minorEastAsia"/>
      <w:lang w:val="en-US" w:eastAsia="zh-CN"/>
    </w:rPr>
  </w:style>
  <w:style w:type="character" w:customStyle="1" w:styleId="Heading1Char">
    <w:name w:val="Heading 1 Char"/>
    <w:aliases w:val="Heading cover page Char"/>
    <w:basedOn w:val="DefaultParagraphFont"/>
    <w:link w:val="Heading1"/>
    <w:uiPriority w:val="9"/>
    <w:rsid w:val="00C416BE"/>
    <w:rPr>
      <w:rFonts w:ascii="Arial" w:eastAsiaTheme="majorEastAsia" w:hAnsi="Arial" w:cstheme="majorBidi"/>
      <w:color w:val="06B6E4"/>
      <w:sz w:val="80"/>
      <w:szCs w:val="32"/>
    </w:rPr>
  </w:style>
  <w:style w:type="character" w:customStyle="1" w:styleId="Heading2Char">
    <w:name w:val="Heading 2 Char"/>
    <w:aliases w:val="Heading 2 cover Char"/>
    <w:basedOn w:val="DefaultParagraphFont"/>
    <w:link w:val="Heading2"/>
    <w:uiPriority w:val="9"/>
    <w:rsid w:val="001706D1"/>
    <w:rPr>
      <w:rFonts w:ascii="Arial" w:eastAsiaTheme="majorEastAsia" w:hAnsi="Arial" w:cstheme="majorBidi"/>
      <w:color w:val="2E74B5" w:themeColor="accent1" w:themeShade="BF"/>
      <w:sz w:val="32"/>
      <w:szCs w:val="26"/>
    </w:rPr>
  </w:style>
  <w:style w:type="paragraph" w:customStyle="1" w:styleId="p1">
    <w:name w:val="p1"/>
    <w:basedOn w:val="Normal"/>
    <w:rsid w:val="001706D1"/>
    <w:pPr>
      <w:spacing w:after="0"/>
    </w:pPr>
    <w:rPr>
      <w:rFonts w:ascii="MetaNormalLF-Roman" w:hAnsi="MetaNormalLF-Roman" w:cs="Times New Roman"/>
      <w:color w:val="245E91"/>
      <w:sz w:val="24"/>
      <w:szCs w:val="24"/>
      <w:lang w:val="en-GB" w:eastAsia="en-GB"/>
    </w:rPr>
  </w:style>
  <w:style w:type="paragraph" w:styleId="Title">
    <w:name w:val="Title"/>
    <w:basedOn w:val="Normal"/>
    <w:next w:val="Normal"/>
    <w:link w:val="TitleChar"/>
    <w:uiPriority w:val="10"/>
    <w:qFormat/>
    <w:rsid w:val="00D50268"/>
    <w:pPr>
      <w:pBdr>
        <w:bottom w:val="single" w:sz="8" w:space="4" w:color="4F81BD"/>
      </w:pBdr>
      <w:spacing w:after="300"/>
      <w:contextualSpacing/>
    </w:pPr>
    <w:rPr>
      <w:rFonts w:ascii="Cambria" w:eastAsia="PMingLiU" w:hAnsi="Cambria" w:cs="Times New Roman"/>
      <w:color w:val="17365D"/>
      <w:spacing w:val="5"/>
      <w:kern w:val="28"/>
      <w:sz w:val="52"/>
      <w:szCs w:val="52"/>
      <w:lang w:eastAsia="en-AU"/>
    </w:rPr>
  </w:style>
  <w:style w:type="character" w:customStyle="1" w:styleId="TitleChar">
    <w:name w:val="Title Char"/>
    <w:basedOn w:val="DefaultParagraphFont"/>
    <w:link w:val="Title"/>
    <w:uiPriority w:val="10"/>
    <w:rsid w:val="00D50268"/>
    <w:rPr>
      <w:rFonts w:ascii="Cambria" w:eastAsia="PMingLiU" w:hAnsi="Cambria" w:cs="Times New Roman"/>
      <w:color w:val="17365D"/>
      <w:spacing w:val="5"/>
      <w:kern w:val="28"/>
      <w:sz w:val="52"/>
      <w:szCs w:val="52"/>
      <w:lang w:eastAsia="en-AU"/>
    </w:rPr>
  </w:style>
  <w:style w:type="paragraph" w:styleId="Subtitle">
    <w:name w:val="Subtitle"/>
    <w:basedOn w:val="Normal"/>
    <w:next w:val="Normal"/>
    <w:link w:val="SubtitleChar"/>
    <w:uiPriority w:val="11"/>
    <w:qFormat/>
    <w:rsid w:val="00D50268"/>
    <w:pPr>
      <w:numPr>
        <w:ilvl w:val="1"/>
      </w:numPr>
      <w:spacing w:after="0"/>
    </w:pPr>
    <w:rPr>
      <w:rFonts w:ascii="Cambria" w:eastAsia="PMingLiU" w:hAnsi="Cambria" w:cs="Times New Roman"/>
      <w:i/>
      <w:iCs/>
      <w:color w:val="4F81BD"/>
      <w:spacing w:val="15"/>
      <w:sz w:val="24"/>
      <w:szCs w:val="24"/>
      <w:lang w:eastAsia="en-AU"/>
    </w:rPr>
  </w:style>
  <w:style w:type="character" w:customStyle="1" w:styleId="SubtitleChar">
    <w:name w:val="Subtitle Char"/>
    <w:basedOn w:val="DefaultParagraphFont"/>
    <w:link w:val="Subtitle"/>
    <w:uiPriority w:val="11"/>
    <w:rsid w:val="00D50268"/>
    <w:rPr>
      <w:rFonts w:ascii="Cambria" w:eastAsia="PMingLiU" w:hAnsi="Cambria" w:cs="Times New Roman"/>
      <w:i/>
      <w:iCs/>
      <w:color w:val="4F81BD"/>
      <w:spacing w:val="15"/>
      <w:sz w:val="24"/>
      <w:szCs w:val="24"/>
      <w:lang w:eastAsia="en-AU"/>
    </w:rPr>
  </w:style>
  <w:style w:type="paragraph" w:styleId="ListParagraph">
    <w:name w:val="List Paragraph"/>
    <w:aliases w:val="LAQ Bullets"/>
    <w:basedOn w:val="Normal"/>
    <w:link w:val="ListParagraphChar"/>
    <w:uiPriority w:val="34"/>
    <w:qFormat/>
    <w:rsid w:val="00D50268"/>
    <w:pPr>
      <w:spacing w:after="0"/>
      <w:ind w:left="720"/>
      <w:contextualSpacing/>
    </w:pPr>
    <w:rPr>
      <w:rFonts w:ascii="Calibri" w:eastAsia="PMingLiU" w:hAnsi="Calibri" w:cs="Times New Roman"/>
      <w:sz w:val="22"/>
      <w:lang w:eastAsia="en-AU"/>
    </w:rPr>
  </w:style>
  <w:style w:type="character" w:customStyle="1" w:styleId="ListParagraphChar">
    <w:name w:val="List Paragraph Char"/>
    <w:aliases w:val="LAQ Bullets Char"/>
    <w:link w:val="ListParagraph"/>
    <w:uiPriority w:val="34"/>
    <w:locked/>
    <w:rsid w:val="00944415"/>
    <w:rPr>
      <w:rFonts w:ascii="Calibri" w:eastAsia="PMingLiU" w:hAnsi="Calibri" w:cs="Times New Roman"/>
      <w:lang w:eastAsia="en-AU"/>
    </w:rPr>
  </w:style>
  <w:style w:type="table" w:styleId="TableGrid">
    <w:name w:val="Table Grid"/>
    <w:basedOn w:val="TableNormal"/>
    <w:uiPriority w:val="39"/>
    <w:rsid w:val="00944415"/>
    <w:pPr>
      <w:spacing w:after="0" w:line="240" w:lineRule="auto"/>
    </w:pPr>
    <w:rPr>
      <w:rFonts w:ascii="Calibri" w:eastAsia="PMingLiU" w:hAnsi="Calibri"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6F59"/>
    <w:pPr>
      <w:spacing w:after="0"/>
    </w:pPr>
    <w:rPr>
      <w:rFonts w:asciiTheme="minorHAnsi" w:hAnsiTheme="minorHAnsi"/>
      <w:szCs w:val="20"/>
    </w:rPr>
  </w:style>
  <w:style w:type="character" w:customStyle="1" w:styleId="FootnoteTextChar">
    <w:name w:val="Footnote Text Char"/>
    <w:basedOn w:val="DefaultParagraphFont"/>
    <w:link w:val="FootnoteText"/>
    <w:uiPriority w:val="99"/>
    <w:semiHidden/>
    <w:rsid w:val="00ED6F59"/>
    <w:rPr>
      <w:sz w:val="20"/>
      <w:szCs w:val="20"/>
    </w:rPr>
  </w:style>
  <w:style w:type="character" w:styleId="FootnoteReference">
    <w:name w:val="footnote reference"/>
    <w:basedOn w:val="DefaultParagraphFont"/>
    <w:uiPriority w:val="99"/>
    <w:semiHidden/>
    <w:unhideWhenUsed/>
    <w:rsid w:val="00ED6F59"/>
    <w:rPr>
      <w:vertAlign w:val="superscript"/>
    </w:rPr>
  </w:style>
  <w:style w:type="character" w:styleId="Hyperlink">
    <w:name w:val="Hyperlink"/>
    <w:basedOn w:val="DefaultParagraphFont"/>
    <w:uiPriority w:val="99"/>
    <w:unhideWhenUsed/>
    <w:rsid w:val="00ED6F59"/>
    <w:rPr>
      <w:color w:val="0563C1" w:themeColor="hyperlink"/>
      <w:u w:val="single"/>
    </w:rPr>
  </w:style>
  <w:style w:type="character" w:styleId="FollowedHyperlink">
    <w:name w:val="FollowedHyperlink"/>
    <w:basedOn w:val="DefaultParagraphFont"/>
    <w:uiPriority w:val="99"/>
    <w:semiHidden/>
    <w:unhideWhenUsed/>
    <w:rsid w:val="00DF3065"/>
    <w:rPr>
      <w:color w:val="954F72" w:themeColor="followedHyperlink"/>
      <w:u w:val="single"/>
    </w:rPr>
  </w:style>
  <w:style w:type="paragraph" w:styleId="Revision">
    <w:name w:val="Revision"/>
    <w:hidden/>
    <w:uiPriority w:val="99"/>
    <w:semiHidden/>
    <w:rsid w:val="001E312F"/>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BC40F1"/>
    <w:rPr>
      <w:sz w:val="16"/>
      <w:szCs w:val="16"/>
    </w:rPr>
  </w:style>
  <w:style w:type="paragraph" w:styleId="CommentText">
    <w:name w:val="annotation text"/>
    <w:basedOn w:val="Normal"/>
    <w:link w:val="CommentTextChar"/>
    <w:uiPriority w:val="99"/>
    <w:unhideWhenUsed/>
    <w:rsid w:val="00BC40F1"/>
    <w:rPr>
      <w:szCs w:val="20"/>
    </w:rPr>
  </w:style>
  <w:style w:type="character" w:customStyle="1" w:styleId="CommentTextChar">
    <w:name w:val="Comment Text Char"/>
    <w:basedOn w:val="DefaultParagraphFont"/>
    <w:link w:val="CommentText"/>
    <w:uiPriority w:val="99"/>
    <w:rsid w:val="00BC40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40F1"/>
    <w:rPr>
      <w:b/>
      <w:bCs/>
    </w:rPr>
  </w:style>
  <w:style w:type="character" w:customStyle="1" w:styleId="CommentSubjectChar">
    <w:name w:val="Comment Subject Char"/>
    <w:basedOn w:val="CommentTextChar"/>
    <w:link w:val="CommentSubject"/>
    <w:uiPriority w:val="99"/>
    <w:semiHidden/>
    <w:rsid w:val="00BC40F1"/>
    <w:rPr>
      <w:rFonts w:ascii="Arial" w:hAnsi="Arial"/>
      <w:b/>
      <w:bCs/>
      <w:sz w:val="20"/>
      <w:szCs w:val="20"/>
    </w:rPr>
  </w:style>
  <w:style w:type="character" w:styleId="UnresolvedMention">
    <w:name w:val="Unresolved Mention"/>
    <w:basedOn w:val="DefaultParagraphFont"/>
    <w:uiPriority w:val="99"/>
    <w:rsid w:val="00E75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50898">
      <w:bodyDiv w:val="1"/>
      <w:marLeft w:val="0"/>
      <w:marRight w:val="0"/>
      <w:marTop w:val="0"/>
      <w:marBottom w:val="0"/>
      <w:divBdr>
        <w:top w:val="none" w:sz="0" w:space="0" w:color="auto"/>
        <w:left w:val="none" w:sz="0" w:space="0" w:color="auto"/>
        <w:bottom w:val="none" w:sz="0" w:space="0" w:color="auto"/>
        <w:right w:val="none" w:sz="0" w:space="0" w:color="auto"/>
      </w:divBdr>
    </w:div>
    <w:div w:id="458452882">
      <w:bodyDiv w:val="1"/>
      <w:marLeft w:val="0"/>
      <w:marRight w:val="0"/>
      <w:marTop w:val="0"/>
      <w:marBottom w:val="0"/>
      <w:divBdr>
        <w:top w:val="none" w:sz="0" w:space="0" w:color="auto"/>
        <w:left w:val="none" w:sz="0" w:space="0" w:color="auto"/>
        <w:bottom w:val="none" w:sz="0" w:space="0" w:color="auto"/>
        <w:right w:val="none" w:sz="0" w:space="0" w:color="auto"/>
      </w:divBdr>
    </w:div>
    <w:div w:id="16062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brouwera\Offline%20Records%20(PD)\Research%20and%20Source%20Materials\Working%20document%20-%20electoral%20roll%20figures%20quarterly,%20yearly,%20population%20and%20household%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Master!$P$7</c:f>
              <c:strCache>
                <c:ptCount val="1"/>
                <c:pt idx="0">
                  <c:v>Average</c:v>
                </c:pt>
              </c:strCache>
            </c:strRef>
          </c:tx>
          <c:spPr>
            <a:ln w="28575" cap="rnd">
              <a:solidFill>
                <a:schemeClr val="accent1"/>
              </a:solidFill>
              <a:round/>
            </a:ln>
            <a:effectLst/>
          </c:spPr>
          <c:marker>
            <c:symbol val="none"/>
          </c:marker>
          <c:cat>
            <c:numRef>
              <c:f>Master!$Q$3:$V$3</c:f>
              <c:numCache>
                <c:formatCode>mmm\-yy</c:formatCode>
                <c:ptCount val="6"/>
                <c:pt idx="0">
                  <c:v>43100</c:v>
                </c:pt>
                <c:pt idx="1">
                  <c:v>43435</c:v>
                </c:pt>
                <c:pt idx="2">
                  <c:v>43800</c:v>
                </c:pt>
                <c:pt idx="3">
                  <c:v>44166</c:v>
                </c:pt>
                <c:pt idx="4">
                  <c:v>44531</c:v>
                </c:pt>
                <c:pt idx="5">
                  <c:v>44896</c:v>
                </c:pt>
              </c:numCache>
            </c:numRef>
          </c:cat>
          <c:val>
            <c:numRef>
              <c:f>Master!$Q$7:$V$7</c:f>
              <c:numCache>
                <c:formatCode>0</c:formatCode>
                <c:ptCount val="6"/>
                <c:pt idx="0">
                  <c:v>34492.06451612903</c:v>
                </c:pt>
                <c:pt idx="1">
                  <c:v>34945.172043010753</c:v>
                </c:pt>
                <c:pt idx="2">
                  <c:v>35778.161290322583</c:v>
                </c:pt>
                <c:pt idx="3">
                  <c:v>36751.774193548386</c:v>
                </c:pt>
                <c:pt idx="4" formatCode="#,##0">
                  <c:v>37408.021505376346</c:v>
                </c:pt>
                <c:pt idx="5" formatCode="#,##0">
                  <c:v>38490.860215053763</c:v>
                </c:pt>
              </c:numCache>
            </c:numRef>
          </c:val>
          <c:smooth val="0"/>
          <c:extLst>
            <c:ext xmlns:c16="http://schemas.microsoft.com/office/drawing/2014/chart" uri="{C3380CC4-5D6E-409C-BE32-E72D297353CC}">
              <c16:uniqueId val="{00000000-B2DA-44D8-B015-D18FD8A2B025}"/>
            </c:ext>
          </c:extLst>
        </c:ser>
        <c:ser>
          <c:idx val="1"/>
          <c:order val="1"/>
          <c:tx>
            <c:strRef>
              <c:f>Master!$P$8</c:f>
              <c:strCache>
                <c:ptCount val="1"/>
                <c:pt idx="0">
                  <c:v>Coomera</c:v>
                </c:pt>
              </c:strCache>
            </c:strRef>
          </c:tx>
          <c:spPr>
            <a:ln w="28575" cap="rnd">
              <a:solidFill>
                <a:schemeClr val="accent2"/>
              </a:solidFill>
              <a:round/>
            </a:ln>
            <a:effectLst/>
          </c:spPr>
          <c:marker>
            <c:symbol val="none"/>
          </c:marker>
          <c:cat>
            <c:numRef>
              <c:f>Master!$Q$3:$V$3</c:f>
              <c:numCache>
                <c:formatCode>mmm\-yy</c:formatCode>
                <c:ptCount val="6"/>
                <c:pt idx="0">
                  <c:v>43100</c:v>
                </c:pt>
                <c:pt idx="1">
                  <c:v>43435</c:v>
                </c:pt>
                <c:pt idx="2">
                  <c:v>43800</c:v>
                </c:pt>
                <c:pt idx="3">
                  <c:v>44166</c:v>
                </c:pt>
                <c:pt idx="4">
                  <c:v>44531</c:v>
                </c:pt>
                <c:pt idx="5">
                  <c:v>44896</c:v>
                </c:pt>
              </c:numCache>
            </c:numRef>
          </c:cat>
          <c:val>
            <c:numRef>
              <c:f>Master!$Q$8:$V$8</c:f>
              <c:numCache>
                <c:formatCode>General</c:formatCode>
                <c:ptCount val="6"/>
                <c:pt idx="0">
                  <c:v>36404</c:v>
                </c:pt>
                <c:pt idx="1">
                  <c:v>39384</c:v>
                </c:pt>
                <c:pt idx="2">
                  <c:v>42689</c:v>
                </c:pt>
                <c:pt idx="3">
                  <c:v>46056</c:v>
                </c:pt>
                <c:pt idx="4" formatCode="#,##0">
                  <c:v>48709</c:v>
                </c:pt>
                <c:pt idx="5" formatCode="#,##0">
                  <c:v>51331</c:v>
                </c:pt>
              </c:numCache>
            </c:numRef>
          </c:val>
          <c:smooth val="0"/>
          <c:extLst>
            <c:ext xmlns:c16="http://schemas.microsoft.com/office/drawing/2014/chart" uri="{C3380CC4-5D6E-409C-BE32-E72D297353CC}">
              <c16:uniqueId val="{00000001-B2DA-44D8-B015-D18FD8A2B025}"/>
            </c:ext>
          </c:extLst>
        </c:ser>
        <c:dLbls>
          <c:showLegendKey val="0"/>
          <c:showVal val="0"/>
          <c:showCatName val="0"/>
          <c:showSerName val="0"/>
          <c:showPercent val="0"/>
          <c:showBubbleSize val="0"/>
        </c:dLbls>
        <c:smooth val="0"/>
        <c:axId val="671660640"/>
        <c:axId val="358348816"/>
      </c:lineChart>
      <c:dateAx>
        <c:axId val="67166064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348816"/>
        <c:crosses val="autoZero"/>
        <c:auto val="1"/>
        <c:lblOffset val="100"/>
        <c:baseTimeUnit val="months"/>
      </c:dateAx>
      <c:valAx>
        <c:axId val="358348816"/>
        <c:scaling>
          <c:orientation val="minMax"/>
          <c:min val="3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66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40F60-A926-4205-9812-4479654C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3129</Words>
  <Characters>16711</Characters>
  <Application>Microsoft Office Word</Application>
  <DocSecurity>0</DocSecurity>
  <Lines>388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Martinez</dc:creator>
  <cp:keywords/>
  <dc:description/>
  <cp:lastModifiedBy>Janelle Hocking</cp:lastModifiedBy>
  <cp:revision>4</cp:revision>
  <cp:lastPrinted>2023-03-27T05:30:00Z</cp:lastPrinted>
  <dcterms:created xsi:type="dcterms:W3CDTF">2023-03-27T05:29:00Z</dcterms:created>
  <dcterms:modified xsi:type="dcterms:W3CDTF">2023-03-28T04:30:00Z</dcterms:modified>
</cp:coreProperties>
</file>