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617B" w14:textId="3F9CD342" w:rsidR="001C3E14" w:rsidRDefault="00BC0E7B" w:rsidP="001C3E14">
      <w:pPr>
        <w:rPr>
          <w:rFonts w:ascii="Arial" w:hAnsi="Arial" w:cs="Arial"/>
          <w:lang w:val="en-US"/>
        </w:rPr>
      </w:pPr>
      <w:r>
        <w:rPr>
          <w:noProof/>
        </w:rPr>
        <mc:AlternateContent>
          <mc:Choice Requires="wps">
            <w:drawing>
              <wp:anchor distT="0" distB="0" distL="114300" distR="114300" simplePos="0" relativeHeight="251658241" behindDoc="0" locked="0" layoutInCell="1" allowOverlap="1" wp14:anchorId="6E94BBB5" wp14:editId="7E61517B">
                <wp:simplePos x="0" y="0"/>
                <wp:positionH relativeFrom="page">
                  <wp:posOffset>4237990</wp:posOffset>
                </wp:positionH>
                <wp:positionV relativeFrom="page">
                  <wp:posOffset>8737600</wp:posOffset>
                </wp:positionV>
                <wp:extent cx="2753995" cy="843280"/>
                <wp:effectExtent l="0" t="0" r="8255"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99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6F4E9" w14:textId="7A15C949" w:rsidR="001C3E14" w:rsidRPr="00BC0E7B" w:rsidRDefault="001C3E14" w:rsidP="001C3E14">
                            <w:pPr>
                              <w:pStyle w:val="Heading2"/>
                              <w:spacing w:before="0" w:after="120"/>
                              <w:rPr>
                                <w:rFonts w:ascii="Arial" w:hAnsi="Arial"/>
                                <w:b w:val="0"/>
                                <w:bCs w:val="0"/>
                                <w:color w:val="2F5496" w:themeColor="accent1" w:themeShade="BF"/>
                                <w:sz w:val="40"/>
                                <w:szCs w:val="40"/>
                              </w:rPr>
                            </w:pPr>
                            <w:r w:rsidRPr="00BC0E7B">
                              <w:rPr>
                                <w:rFonts w:ascii="Arial" w:hAnsi="Arial"/>
                                <w:b w:val="0"/>
                                <w:bCs w:val="0"/>
                                <w:color w:val="2F5496" w:themeColor="accent1" w:themeShade="BF"/>
                                <w:sz w:val="40"/>
                                <w:szCs w:val="40"/>
                              </w:rPr>
                              <w:t xml:space="preserve">Determination </w:t>
                            </w:r>
                            <w:r w:rsidR="00EF38E4" w:rsidRPr="00BC0E7B">
                              <w:rPr>
                                <w:rFonts w:ascii="Arial" w:hAnsi="Arial"/>
                                <w:b w:val="0"/>
                                <w:bCs w:val="0"/>
                                <w:color w:val="2F5496" w:themeColor="accent1" w:themeShade="BF"/>
                                <w:sz w:val="40"/>
                                <w:szCs w:val="40"/>
                              </w:rPr>
                              <w:t>2</w:t>
                            </w:r>
                            <w:r w:rsidR="00D3201E" w:rsidRPr="00BC0E7B">
                              <w:rPr>
                                <w:rFonts w:ascii="Arial" w:hAnsi="Arial"/>
                                <w:b w:val="0"/>
                                <w:bCs w:val="0"/>
                                <w:color w:val="2F5496" w:themeColor="accent1" w:themeShade="BF"/>
                                <w:sz w:val="40"/>
                                <w:szCs w:val="40"/>
                              </w:rPr>
                              <w:t>6</w:t>
                            </w:r>
                            <w:r w:rsidRPr="00BC0E7B">
                              <w:rPr>
                                <w:rFonts w:ascii="Arial" w:hAnsi="Arial"/>
                                <w:b w:val="0"/>
                                <w:bCs w:val="0"/>
                                <w:color w:val="2F5496" w:themeColor="accent1" w:themeShade="BF"/>
                                <w:sz w:val="40"/>
                                <w:szCs w:val="40"/>
                              </w:rPr>
                              <w:t>/</w:t>
                            </w:r>
                            <w:r w:rsidR="006A2618" w:rsidRPr="00BC0E7B">
                              <w:rPr>
                                <w:rFonts w:ascii="Arial" w:hAnsi="Arial"/>
                                <w:b w:val="0"/>
                                <w:bCs w:val="0"/>
                                <w:color w:val="2F5496" w:themeColor="accent1" w:themeShade="BF"/>
                                <w:sz w:val="40"/>
                                <w:szCs w:val="40"/>
                              </w:rPr>
                              <w:t>2022</w:t>
                            </w:r>
                          </w:p>
                          <w:p w14:paraId="195E5B73" w14:textId="1BF03986" w:rsidR="001C3E14" w:rsidRPr="00842329" w:rsidRDefault="00D300E6" w:rsidP="001C3E14">
                            <w:pPr>
                              <w:pStyle w:val="Heading2"/>
                              <w:spacing w:before="0" w:after="120"/>
                              <w:rPr>
                                <w:rFonts w:ascii="Arial" w:hAnsi="Arial"/>
                                <w:color w:val="2F5496" w:themeColor="accent1" w:themeShade="BF"/>
                                <w:sz w:val="40"/>
                                <w:szCs w:val="40"/>
                              </w:rPr>
                            </w:pPr>
                            <w:r>
                              <w:rPr>
                                <w:rFonts w:ascii="Arial" w:hAnsi="Arial"/>
                                <w:color w:val="2F5496" w:themeColor="accent1" w:themeShade="BF"/>
                                <w:sz w:val="40"/>
                                <w:szCs w:val="40"/>
                              </w:rPr>
                              <w:t>30</w:t>
                            </w:r>
                            <w:r w:rsidR="00BC0E7B" w:rsidRPr="00842329">
                              <w:rPr>
                                <w:rFonts w:ascii="Arial" w:hAnsi="Arial"/>
                                <w:color w:val="2F5496" w:themeColor="accent1" w:themeShade="BF"/>
                                <w:sz w:val="40"/>
                                <w:szCs w:val="40"/>
                              </w:rPr>
                              <w:t xml:space="preserve"> March 2022</w:t>
                            </w:r>
                          </w:p>
                        </w:txbxContent>
                      </wps:txbx>
                      <wps:bodyPr rot="0" spcFirstLastPara="0" vertOverflow="clip"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6E94BBB5" id="_x0000_t202" coordsize="21600,21600" o:spt="202" path="m,l,21600r21600,l21600,xe">
                <v:stroke joinstyle="miter"/>
                <v:path gradientshapeok="t" o:connecttype="rect"/>
              </v:shapetype>
              <v:shape id="Text Box 153" o:spid="_x0000_s1026" type="#_x0000_t202" style="position:absolute;margin-left:333.7pt;margin-top:688pt;width:216.85pt;height:66.4pt;z-index:251658241;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" filled="f" stroked="f" strokeweight=".5pt">
                <v:textbox inset="0,0,0,0">
                  <w:txbxContent>
                    <w:p w14:paraId="2A36F4E9" w14:textId="7A15C949" w:rsidR="001C3E14" w:rsidRPr="00BC0E7B" w:rsidRDefault="001C3E14" w:rsidP="001C3E14">
                      <w:pPr>
                        <w:pStyle w:val="Heading2"/>
                        <w:spacing w:before="0" w:after="120"/>
                        <w:rPr>
                          <w:rFonts w:ascii="Arial" w:hAnsi="Arial"/>
                          <w:b w:val="0"/>
                          <w:bCs w:val="0"/>
                          <w:color w:val="2F5496" w:themeColor="accent1" w:themeShade="BF"/>
                          <w:sz w:val="40"/>
                          <w:szCs w:val="40"/>
                        </w:rPr>
                      </w:pPr>
                      <w:r w:rsidRPr="00BC0E7B">
                        <w:rPr>
                          <w:rFonts w:ascii="Arial" w:hAnsi="Arial"/>
                          <w:b w:val="0"/>
                          <w:bCs w:val="0"/>
                          <w:color w:val="2F5496" w:themeColor="accent1" w:themeShade="BF"/>
                          <w:sz w:val="40"/>
                          <w:szCs w:val="40"/>
                        </w:rPr>
                        <w:t xml:space="preserve">Determination </w:t>
                      </w:r>
                      <w:r w:rsidR="00EF38E4" w:rsidRPr="00BC0E7B">
                        <w:rPr>
                          <w:rFonts w:ascii="Arial" w:hAnsi="Arial"/>
                          <w:b w:val="0"/>
                          <w:bCs w:val="0"/>
                          <w:color w:val="2F5496" w:themeColor="accent1" w:themeShade="BF"/>
                          <w:sz w:val="40"/>
                          <w:szCs w:val="40"/>
                        </w:rPr>
                        <w:t>2</w:t>
                      </w:r>
                      <w:r w:rsidR="00D3201E" w:rsidRPr="00BC0E7B">
                        <w:rPr>
                          <w:rFonts w:ascii="Arial" w:hAnsi="Arial"/>
                          <w:b w:val="0"/>
                          <w:bCs w:val="0"/>
                          <w:color w:val="2F5496" w:themeColor="accent1" w:themeShade="BF"/>
                          <w:sz w:val="40"/>
                          <w:szCs w:val="40"/>
                        </w:rPr>
                        <w:t>6</w:t>
                      </w:r>
                      <w:r w:rsidRPr="00BC0E7B">
                        <w:rPr>
                          <w:rFonts w:ascii="Arial" w:hAnsi="Arial"/>
                          <w:b w:val="0"/>
                          <w:bCs w:val="0"/>
                          <w:color w:val="2F5496" w:themeColor="accent1" w:themeShade="BF"/>
                          <w:sz w:val="40"/>
                          <w:szCs w:val="40"/>
                        </w:rPr>
                        <w:t>/</w:t>
                      </w:r>
                      <w:r w:rsidR="006A2618" w:rsidRPr="00BC0E7B">
                        <w:rPr>
                          <w:rFonts w:ascii="Arial" w:hAnsi="Arial"/>
                          <w:b w:val="0"/>
                          <w:bCs w:val="0"/>
                          <w:color w:val="2F5496" w:themeColor="accent1" w:themeShade="BF"/>
                          <w:sz w:val="40"/>
                          <w:szCs w:val="40"/>
                        </w:rPr>
                        <w:t>2022</w:t>
                      </w:r>
                    </w:p>
                    <w:p w14:paraId="195E5B73" w14:textId="1BF03986" w:rsidR="001C3E14" w:rsidRPr="00842329" w:rsidRDefault="00D300E6" w:rsidP="001C3E14">
                      <w:pPr>
                        <w:pStyle w:val="Heading2"/>
                        <w:spacing w:before="0" w:after="120"/>
                        <w:rPr>
                          <w:rFonts w:ascii="Arial" w:hAnsi="Arial"/>
                          <w:color w:val="2F5496" w:themeColor="accent1" w:themeShade="BF"/>
                          <w:sz w:val="40"/>
                          <w:szCs w:val="40"/>
                        </w:rPr>
                      </w:pPr>
                      <w:r>
                        <w:rPr>
                          <w:rFonts w:ascii="Arial" w:hAnsi="Arial"/>
                          <w:color w:val="2F5496" w:themeColor="accent1" w:themeShade="BF"/>
                          <w:sz w:val="40"/>
                          <w:szCs w:val="40"/>
                        </w:rPr>
                        <w:t>30</w:t>
                      </w:r>
                      <w:r w:rsidR="00BC0E7B" w:rsidRPr="00842329">
                        <w:rPr>
                          <w:rFonts w:ascii="Arial" w:hAnsi="Arial"/>
                          <w:color w:val="2F5496" w:themeColor="accent1" w:themeShade="BF"/>
                          <w:sz w:val="40"/>
                          <w:szCs w:val="40"/>
                        </w:rPr>
                        <w:t xml:space="preserve"> March 2022</w:t>
                      </w:r>
                    </w:p>
                  </w:txbxContent>
                </v:textbox>
                <w10:wrap type="square" anchorx="page" anchory="page"/>
              </v:shape>
            </w:pict>
          </mc:Fallback>
        </mc:AlternateContent>
      </w:r>
      <w:r w:rsidR="00602AF9" w:rsidRPr="009C73F8">
        <w:rPr>
          <w:noProof/>
          <w:lang w:val="en-US" w:eastAsia="en-US"/>
        </w:rPr>
        <w:drawing>
          <wp:anchor distT="0" distB="0" distL="114300" distR="114300" simplePos="0" relativeHeight="251658242" behindDoc="1" locked="0" layoutInCell="1" allowOverlap="1" wp14:anchorId="76720D54" wp14:editId="4A9E4881">
            <wp:simplePos x="0" y="0"/>
            <wp:positionH relativeFrom="page">
              <wp:posOffset>52388</wp:posOffset>
            </wp:positionH>
            <wp:positionV relativeFrom="page">
              <wp:posOffset>1119188</wp:posOffset>
            </wp:positionV>
            <wp:extent cx="5612447" cy="8050634"/>
            <wp:effectExtent l="0" t="0" r="7620" b="7620"/>
            <wp:wrapNone/>
            <wp:docPr id="8" name="Picture 8" descr="Chart, radar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 scatt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4820" cy="8054038"/>
                    </a:xfrm>
                    <a:prstGeom prst="rect">
                      <a:avLst/>
                    </a:prstGeom>
                  </pic:spPr>
                </pic:pic>
              </a:graphicData>
            </a:graphic>
            <wp14:sizeRelH relativeFrom="margin">
              <wp14:pctWidth>0</wp14:pctWidth>
            </wp14:sizeRelH>
            <wp14:sizeRelV relativeFrom="margin">
              <wp14:pctHeight>0</wp14:pctHeight>
            </wp14:sizeRelV>
          </wp:anchor>
        </w:drawing>
      </w:r>
      <w:r w:rsidR="001C3E14">
        <w:rPr>
          <w:noProof/>
        </w:rPr>
        <mc:AlternateContent>
          <mc:Choice Requires="wps">
            <w:drawing>
              <wp:anchor distT="0" distB="0" distL="114300" distR="114300" simplePos="0" relativeHeight="251658240" behindDoc="0" locked="0" layoutInCell="1" allowOverlap="1" wp14:anchorId="0FD6458D" wp14:editId="726F62CB">
                <wp:simplePos x="0" y="0"/>
                <wp:positionH relativeFrom="margin">
                  <wp:posOffset>3170555</wp:posOffset>
                </wp:positionH>
                <wp:positionV relativeFrom="page">
                  <wp:posOffset>2947670</wp:posOffset>
                </wp:positionV>
                <wp:extent cx="3143885" cy="4785995"/>
                <wp:effectExtent l="0" t="0" r="0" b="14605"/>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4785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02942" w14:textId="77777777" w:rsidR="001C3E14" w:rsidRDefault="001C3E14" w:rsidP="001C3E14">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 xml:space="preserve">Remuneration Determination </w:t>
                            </w:r>
                          </w:p>
                          <w:p w14:paraId="17A4D53E" w14:textId="77777777" w:rsidR="00500327" w:rsidRDefault="00500327" w:rsidP="001C3E14">
                            <w:pPr>
                              <w:pStyle w:val="Heading1"/>
                              <w:spacing w:before="0"/>
                              <w:rPr>
                                <w:rFonts w:ascii="Arial" w:hAnsi="Arial"/>
                                <w:b w:val="0"/>
                                <w:bCs w:val="0"/>
                                <w:i/>
                                <w:color w:val="06B6E4"/>
                                <w:sz w:val="60"/>
                                <w:szCs w:val="60"/>
                              </w:rPr>
                            </w:pPr>
                          </w:p>
                          <w:p w14:paraId="3E9F1DBA" w14:textId="19C0E1D8" w:rsidR="001C3E14" w:rsidRDefault="00EF38E4" w:rsidP="001C3E14">
                            <w:pPr>
                              <w:pStyle w:val="Heading1"/>
                              <w:spacing w:before="0"/>
                              <w:rPr>
                                <w:i/>
                                <w:sz w:val="60"/>
                                <w:szCs w:val="60"/>
                              </w:rPr>
                            </w:pPr>
                            <w:r>
                              <w:rPr>
                                <w:rFonts w:ascii="Arial" w:hAnsi="Arial"/>
                                <w:b w:val="0"/>
                                <w:bCs w:val="0"/>
                                <w:i/>
                                <w:color w:val="06B6E4"/>
                                <w:sz w:val="60"/>
                                <w:szCs w:val="60"/>
                              </w:rPr>
                              <w:t xml:space="preserve">2021 Review of Allowances </w:t>
                            </w:r>
                          </w:p>
                        </w:txbxContent>
                      </wps:txbx>
                      <wps:bodyPr rot="0" spcFirstLastPara="0" vertOverflow="clip"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D6458D" id="Text Box 154" o:spid="_x0000_s1027" type="#_x0000_t202" style="position:absolute;margin-left:249.65pt;margin-top:232.1pt;width:247.55pt;height:37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" filled="f" stroked="f" strokeweight=".5pt">
                <v:textbox inset="0,0,0,0">
                  <w:txbxContent>
                    <w:p w14:paraId="60C02942" w14:textId="77777777" w:rsidR="001C3E14" w:rsidRDefault="001C3E14" w:rsidP="001C3E14">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 xml:space="preserve">Remuneration Determination </w:t>
                      </w:r>
                    </w:p>
                    <w:p w14:paraId="17A4D53E" w14:textId="77777777" w:rsidR="00500327" w:rsidRDefault="00500327" w:rsidP="001C3E14">
                      <w:pPr>
                        <w:pStyle w:val="Heading1"/>
                        <w:spacing w:before="0"/>
                        <w:rPr>
                          <w:rFonts w:ascii="Arial" w:hAnsi="Arial"/>
                          <w:b w:val="0"/>
                          <w:bCs w:val="0"/>
                          <w:i/>
                          <w:color w:val="06B6E4"/>
                          <w:sz w:val="60"/>
                          <w:szCs w:val="60"/>
                        </w:rPr>
                      </w:pPr>
                    </w:p>
                    <w:p w14:paraId="3E9F1DBA" w14:textId="19C0E1D8" w:rsidR="001C3E14" w:rsidRDefault="00EF38E4" w:rsidP="001C3E14">
                      <w:pPr>
                        <w:pStyle w:val="Heading1"/>
                        <w:spacing w:before="0"/>
                        <w:rPr>
                          <w:i/>
                          <w:sz w:val="60"/>
                          <w:szCs w:val="60"/>
                        </w:rPr>
                      </w:pPr>
                      <w:r>
                        <w:rPr>
                          <w:rFonts w:ascii="Arial" w:hAnsi="Arial"/>
                          <w:b w:val="0"/>
                          <w:bCs w:val="0"/>
                          <w:i/>
                          <w:color w:val="06B6E4"/>
                          <w:sz w:val="60"/>
                          <w:szCs w:val="60"/>
                        </w:rPr>
                        <w:t xml:space="preserve">2021 Review of Allowances </w:t>
                      </w:r>
                    </w:p>
                  </w:txbxContent>
                </v:textbox>
                <w10:wrap type="square" anchorx="margin" anchory="page"/>
              </v:shape>
            </w:pict>
          </mc:Fallback>
        </mc:AlternateContent>
      </w:r>
      <w:r w:rsidR="001C3E14">
        <w:rPr>
          <w:rFonts w:ascii="Arial" w:hAnsi="Arial" w:cs="Arial"/>
          <w:lang w:val="en-US"/>
        </w:rPr>
        <w:br w:type="page"/>
      </w:r>
    </w:p>
    <w:p w14:paraId="26457B09" w14:textId="25C43773" w:rsidR="001C3E14" w:rsidRDefault="001C3E14" w:rsidP="001C3E14">
      <w:pPr>
        <w:rPr>
          <w:rFonts w:ascii="Arial" w:hAnsi="Arial" w:cs="Arial"/>
          <w:lang w:val="en-US"/>
        </w:rPr>
        <w:sectPr w:rsidR="001C3E14" w:rsidSect="00500327">
          <w:headerReference w:type="default" r:id="rId12"/>
          <w:footerReference w:type="default" r:id="rId13"/>
          <w:headerReference w:type="first" r:id="rId14"/>
          <w:footerReference w:type="first" r:id="rId15"/>
          <w:pgSz w:w="11906" w:h="16838"/>
          <w:pgMar w:top="1440" w:right="1133" w:bottom="1440" w:left="1134" w:header="709" w:footer="0" w:gutter="0"/>
          <w:pgNumType w:start="1"/>
          <w:cols w:space="720"/>
          <w:titlePg/>
          <w:docGrid w:linePitch="299"/>
        </w:sectPr>
      </w:pPr>
    </w:p>
    <w:p w14:paraId="06DE768C" w14:textId="59E1528B" w:rsidR="00500327" w:rsidRDefault="00500327" w:rsidP="001C3E14">
      <w:pPr>
        <w:pStyle w:val="Title"/>
        <w:pBdr>
          <w:bottom w:val="single" w:sz="8" w:space="7" w:color="4F81BD"/>
        </w:pBdr>
        <w:rPr>
          <w:rFonts w:ascii="Arial" w:hAnsi="Arial" w:cs="Arial"/>
          <w:lang w:val="en-US"/>
        </w:rPr>
      </w:pPr>
    </w:p>
    <w:p w14:paraId="528DC975" w14:textId="3C948AA1" w:rsidR="001C3E14" w:rsidRDefault="001C3E14" w:rsidP="001C3E14">
      <w:pPr>
        <w:pStyle w:val="Title"/>
        <w:pBdr>
          <w:bottom w:val="single" w:sz="8" w:space="7" w:color="4F81BD"/>
        </w:pBdr>
        <w:rPr>
          <w:rFonts w:ascii="Arial" w:hAnsi="Arial" w:cs="Arial"/>
          <w:lang w:val="en-US"/>
        </w:rPr>
      </w:pPr>
      <w:r>
        <w:rPr>
          <w:rFonts w:ascii="Arial" w:hAnsi="Arial" w:cs="Arial"/>
          <w:lang w:val="en-US"/>
        </w:rPr>
        <w:t>Determination 2</w:t>
      </w:r>
      <w:r w:rsidR="00D3201E">
        <w:rPr>
          <w:rFonts w:ascii="Arial" w:hAnsi="Arial" w:cs="Arial"/>
          <w:lang w:val="en-US"/>
        </w:rPr>
        <w:t>6</w:t>
      </w:r>
      <w:r>
        <w:rPr>
          <w:rFonts w:ascii="Arial" w:hAnsi="Arial" w:cs="Arial"/>
          <w:lang w:val="en-US"/>
        </w:rPr>
        <w:t>/</w:t>
      </w:r>
      <w:r w:rsidR="006A2618" w:rsidRPr="004E146D">
        <w:rPr>
          <w:rFonts w:ascii="Arial" w:hAnsi="Arial" w:cs="Arial"/>
          <w:lang w:val="en-US"/>
        </w:rPr>
        <w:t>2022</w:t>
      </w:r>
    </w:p>
    <w:p w14:paraId="24766865" w14:textId="77777777" w:rsidR="001C3E14" w:rsidRDefault="001C3E14" w:rsidP="001C3E14">
      <w:pPr>
        <w:pStyle w:val="Title"/>
        <w:pBdr>
          <w:bottom w:val="single" w:sz="8" w:space="7" w:color="4F81BD"/>
        </w:pBdr>
        <w:rPr>
          <w:rFonts w:ascii="Arial" w:hAnsi="Arial" w:cs="Arial"/>
          <w:lang w:val="en-US"/>
        </w:rPr>
      </w:pPr>
      <w:r>
        <w:rPr>
          <w:rFonts w:ascii="Arial" w:hAnsi="Arial" w:cs="Arial"/>
          <w:lang w:val="en-US"/>
        </w:rPr>
        <w:t>Background and Reasons</w:t>
      </w:r>
    </w:p>
    <w:p w14:paraId="6D8FAAD4" w14:textId="77777777" w:rsidR="001C3E14" w:rsidRDefault="001C3E14" w:rsidP="001C3E14">
      <w:pPr>
        <w:pStyle w:val="Heading1"/>
        <w:spacing w:after="240"/>
        <w:rPr>
          <w:rFonts w:ascii="Arial" w:hAnsi="Arial" w:cs="Arial"/>
        </w:rPr>
      </w:pPr>
      <w:r>
        <w:rPr>
          <w:rFonts w:ascii="Arial" w:hAnsi="Arial" w:cs="Arial"/>
        </w:rPr>
        <w:t>Tribunal roles and responsibilities</w:t>
      </w:r>
    </w:p>
    <w:p w14:paraId="3B997370" w14:textId="77777777" w:rsidR="001C3E14" w:rsidRDefault="001C3E14" w:rsidP="00D92FE6">
      <w:pPr>
        <w:spacing w:before="200" w:after="200" w:line="276" w:lineRule="auto"/>
        <w:jc w:val="both"/>
        <w:rPr>
          <w:rFonts w:ascii="Arial" w:eastAsia="Calibri" w:hAnsi="Arial" w:cs="Arial"/>
        </w:rPr>
      </w:pPr>
      <w:r>
        <w:rPr>
          <w:rFonts w:ascii="Arial" w:eastAsia="Calibri" w:hAnsi="Arial" w:cs="Arial"/>
        </w:rPr>
        <w:t xml:space="preserve">The </w:t>
      </w:r>
      <w:r>
        <w:rPr>
          <w:rFonts w:ascii="Arial" w:eastAsia="Calibri" w:hAnsi="Arial" w:cs="Arial"/>
          <w:i/>
        </w:rPr>
        <w:t>Queensland Independent Remuneration Tribunal Act 2013</w:t>
      </w:r>
      <w:r>
        <w:rPr>
          <w:rFonts w:ascii="Arial" w:eastAsia="Calibri" w:hAnsi="Arial" w:cs="Arial"/>
        </w:rPr>
        <w:t xml:space="preserve"> (the Act) provides for the Queensland Independent Remuneration Tribunal (the Tribunal) to:</w:t>
      </w:r>
    </w:p>
    <w:p w14:paraId="08EE633C" w14:textId="77777777" w:rsidR="001C3E14" w:rsidRDefault="001C3E14" w:rsidP="00D92FE6">
      <w:pPr>
        <w:pStyle w:val="ListParagraph"/>
        <w:numPr>
          <w:ilvl w:val="0"/>
          <w:numId w:val="4"/>
        </w:numPr>
        <w:spacing w:before="200" w:after="200" w:line="276" w:lineRule="auto"/>
        <w:contextualSpacing w:val="0"/>
        <w:jc w:val="both"/>
        <w:rPr>
          <w:rFonts w:ascii="Arial" w:eastAsia="Calibri" w:hAnsi="Arial" w:cs="Arial"/>
        </w:rPr>
      </w:pPr>
      <w:r>
        <w:rPr>
          <w:rFonts w:ascii="Arial" w:eastAsia="Calibri" w:hAnsi="Arial" w:cs="Arial"/>
        </w:rPr>
        <w:t>review and determine remuneration (annual and additional salaries, allowances and entitlements) in connection with members and former members of the Queensland Legislative Assembly (Remuneration Determination), and</w:t>
      </w:r>
    </w:p>
    <w:p w14:paraId="3C61BC94" w14:textId="77777777" w:rsidR="001C3E14" w:rsidRDefault="001C3E14" w:rsidP="00D92FE6">
      <w:pPr>
        <w:pStyle w:val="ListParagraph"/>
        <w:numPr>
          <w:ilvl w:val="0"/>
          <w:numId w:val="4"/>
        </w:numPr>
        <w:spacing w:before="200" w:after="200" w:line="276" w:lineRule="auto"/>
        <w:contextualSpacing w:val="0"/>
        <w:jc w:val="both"/>
        <w:rPr>
          <w:rFonts w:ascii="Arial" w:eastAsia="Calibri" w:hAnsi="Arial" w:cs="Arial"/>
        </w:rPr>
      </w:pPr>
      <w:r>
        <w:rPr>
          <w:rFonts w:ascii="Arial" w:eastAsia="Calibri" w:hAnsi="Arial" w:cs="Arial"/>
        </w:rPr>
        <w:t xml:space="preserve">review and determine entitlements of cross bench members to additional staff members (Additional Staff Member Determination). </w:t>
      </w:r>
    </w:p>
    <w:p w14:paraId="0C8C540F" w14:textId="02909313" w:rsidR="001C3E14" w:rsidRDefault="001C3E14" w:rsidP="00D92FE6">
      <w:pPr>
        <w:spacing w:before="200" w:after="200" w:line="276" w:lineRule="auto"/>
        <w:jc w:val="both"/>
        <w:rPr>
          <w:rFonts w:ascii="Arial" w:eastAsia="Calibri" w:hAnsi="Arial" w:cs="Arial"/>
        </w:rPr>
      </w:pPr>
      <w:r>
        <w:rPr>
          <w:rFonts w:ascii="Arial" w:eastAsia="Calibri" w:hAnsi="Arial" w:cs="Arial"/>
        </w:rPr>
        <w:t>For a Remuneration Determination</w:t>
      </w:r>
      <w:r w:rsidR="001D0D0C">
        <w:rPr>
          <w:rFonts w:ascii="Arial" w:eastAsia="Calibri" w:hAnsi="Arial" w:cs="Arial"/>
        </w:rPr>
        <w:t>,</w:t>
      </w:r>
      <w:r>
        <w:rPr>
          <w:rFonts w:ascii="Arial" w:eastAsia="Calibri" w:hAnsi="Arial" w:cs="Arial"/>
        </w:rPr>
        <w:t xml:space="preserve"> the Tribunal may have regard to the value to the community of a member </w:t>
      </w:r>
      <w:proofErr w:type="gramStart"/>
      <w:r>
        <w:rPr>
          <w:rFonts w:ascii="Arial" w:eastAsia="Calibri" w:hAnsi="Arial" w:cs="Arial"/>
        </w:rPr>
        <w:t>carrying out</w:t>
      </w:r>
      <w:proofErr w:type="gramEnd"/>
      <w:r>
        <w:rPr>
          <w:rFonts w:ascii="Arial" w:eastAsia="Calibri" w:hAnsi="Arial" w:cs="Arial"/>
        </w:rPr>
        <w:t xml:space="preserve">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w:t>
      </w:r>
      <w:proofErr w:type="gramStart"/>
      <w:r>
        <w:rPr>
          <w:rFonts w:ascii="Arial" w:eastAsia="Calibri" w:hAnsi="Arial" w:cs="Arial"/>
        </w:rPr>
        <w:t>making a Determination</w:t>
      </w:r>
      <w:proofErr w:type="gramEnd"/>
      <w:r>
        <w:rPr>
          <w:rFonts w:ascii="Arial" w:eastAsia="Calibri" w:hAnsi="Arial" w:cs="Arial"/>
        </w:rPr>
        <w:t>, the Tribunal must consult with and consider the views of the Clerk of the Parliament (the Clerk).</w:t>
      </w:r>
    </w:p>
    <w:p w14:paraId="4E4749C9" w14:textId="7A5E3ECB" w:rsidR="00F34043" w:rsidRDefault="001C3E14" w:rsidP="1DC02EE4">
      <w:pPr>
        <w:spacing w:before="200" w:after="200" w:line="276" w:lineRule="auto"/>
        <w:jc w:val="both"/>
        <w:rPr>
          <w:rFonts w:ascii="Arial" w:hAnsi="Arial" w:cs="Arial"/>
        </w:rPr>
      </w:pPr>
      <w:r>
        <w:rPr>
          <w:rFonts w:ascii="Arial" w:eastAsia="Calibri" w:hAnsi="Arial" w:cs="Arial"/>
        </w:rPr>
        <w:t>The Tribunal must ensure any allowances paid to a member reflect the amount of reasonable expenses incurred by a member in servicing their electorate; ensure these allowances are not a substitute for other remuneration; and ensure accommodation services or other entitlements provided for in section 55 of the Act are not taken into account, such as electorate offices, staffing support and major items of office equipment (section 30 of the Act).</w:t>
      </w:r>
    </w:p>
    <w:p w14:paraId="709569C5" w14:textId="7A5E3ECB" w:rsidR="53484B92" w:rsidRPr="00391869" w:rsidRDefault="53484B92" w:rsidP="6B189365">
      <w:pPr>
        <w:pStyle w:val="Subtitle"/>
        <w:spacing w:before="200" w:after="200" w:line="257" w:lineRule="auto"/>
        <w:rPr>
          <w:rFonts w:ascii="Arial" w:eastAsia="Arial" w:hAnsi="Arial" w:cs="Arial"/>
          <w:sz w:val="22"/>
          <w:szCs w:val="22"/>
        </w:rPr>
      </w:pPr>
      <w:r w:rsidRPr="00391869">
        <w:rPr>
          <w:rFonts w:ascii="Arial" w:eastAsia="Arial" w:hAnsi="Arial" w:cs="Arial"/>
        </w:rPr>
        <w:t xml:space="preserve">Submissions and consultation </w:t>
      </w:r>
    </w:p>
    <w:p w14:paraId="5E78026D" w14:textId="299729D1" w:rsidR="00F34043" w:rsidRDefault="53484B92" w:rsidP="00D92FE6">
      <w:pPr>
        <w:spacing w:before="200" w:after="200" w:line="276" w:lineRule="auto"/>
        <w:jc w:val="both"/>
        <w:rPr>
          <w:rFonts w:ascii="Arial" w:hAnsi="Arial" w:cs="Arial"/>
        </w:rPr>
      </w:pPr>
      <w:r w:rsidRPr="6B189365">
        <w:rPr>
          <w:rFonts w:ascii="Arial" w:eastAsia="Arial" w:hAnsi="Arial" w:cs="Arial"/>
        </w:rPr>
        <w:t>The</w:t>
      </w:r>
      <w:r w:rsidR="00A84E7E">
        <w:rPr>
          <w:rFonts w:ascii="Arial" w:eastAsia="Arial" w:hAnsi="Arial" w:cs="Arial"/>
        </w:rPr>
        <w:t xml:space="preserve"> </w:t>
      </w:r>
      <w:r w:rsidR="6AD90CF8" w:rsidRPr="6B189365">
        <w:rPr>
          <w:rFonts w:ascii="Arial" w:eastAsia="Arial" w:hAnsi="Arial" w:cs="Arial"/>
        </w:rPr>
        <w:t xml:space="preserve">Tribunal received submissions from the Clerk and non-Government members. </w:t>
      </w:r>
      <w:r w:rsidR="746BD201" w:rsidRPr="1FA9AD08">
        <w:rPr>
          <w:rFonts w:ascii="Arial" w:eastAsia="Arial" w:hAnsi="Arial" w:cs="Arial"/>
        </w:rPr>
        <w:t xml:space="preserve">The Tribunal also met with the </w:t>
      </w:r>
      <w:r w:rsidRPr="1FA9AD08">
        <w:rPr>
          <w:rFonts w:ascii="Arial" w:eastAsia="Arial" w:hAnsi="Arial" w:cs="Arial"/>
        </w:rPr>
        <w:t>Committee</w:t>
      </w:r>
      <w:r w:rsidRPr="1DC02EE4">
        <w:rPr>
          <w:rFonts w:ascii="Arial" w:eastAsia="Arial" w:hAnsi="Arial" w:cs="Arial"/>
        </w:rPr>
        <w:t xml:space="preserve"> of the Legislative Assembly (the CLA). All stakeholder engagement has informed the Tribunal’s review and </w:t>
      </w:r>
      <w:r w:rsidRPr="00E92191">
        <w:rPr>
          <w:rFonts w:ascii="Arial" w:eastAsia="Calibri" w:hAnsi="Arial" w:cs="Arial"/>
        </w:rPr>
        <w:t>the</w:t>
      </w:r>
      <w:r w:rsidRPr="1DC02EE4">
        <w:rPr>
          <w:rFonts w:ascii="Arial" w:eastAsia="Arial" w:hAnsi="Arial" w:cs="Arial"/>
        </w:rPr>
        <w:t xml:space="preserve"> final decisions made in Determination </w:t>
      </w:r>
      <w:r w:rsidR="6570BB47" w:rsidRPr="7A553FF6">
        <w:rPr>
          <w:rFonts w:ascii="Arial" w:eastAsia="Arial" w:hAnsi="Arial" w:cs="Arial"/>
        </w:rPr>
        <w:t>26</w:t>
      </w:r>
      <w:r w:rsidR="6570BB47" w:rsidRPr="48871BB1">
        <w:rPr>
          <w:rFonts w:ascii="Arial" w:eastAsia="Arial" w:hAnsi="Arial" w:cs="Arial"/>
        </w:rPr>
        <w:t>/</w:t>
      </w:r>
      <w:r w:rsidR="006A2618" w:rsidRPr="48871BB1">
        <w:rPr>
          <w:rFonts w:ascii="Arial" w:eastAsia="Arial" w:hAnsi="Arial" w:cs="Arial"/>
        </w:rPr>
        <w:t>202</w:t>
      </w:r>
      <w:r w:rsidR="006A2618">
        <w:rPr>
          <w:rFonts w:ascii="Arial" w:eastAsia="Arial" w:hAnsi="Arial" w:cs="Arial"/>
        </w:rPr>
        <w:t>2</w:t>
      </w:r>
      <w:r w:rsidR="46EB4B50" w:rsidRPr="48871BB1">
        <w:rPr>
          <w:rFonts w:ascii="Arial" w:eastAsia="Arial" w:hAnsi="Arial" w:cs="Arial"/>
        </w:rPr>
        <w:t>.</w:t>
      </w:r>
      <w:r w:rsidR="7D23D46A" w:rsidRPr="48871BB1">
        <w:rPr>
          <w:rFonts w:ascii="Arial" w:eastAsia="Calibri" w:hAnsi="Arial" w:cs="Arial"/>
        </w:rPr>
        <w:t xml:space="preserve"> </w:t>
      </w:r>
      <w:r w:rsidR="57DC09B0" w:rsidRPr="48871BB1">
        <w:rPr>
          <w:rFonts w:ascii="Arial" w:hAnsi="Arial" w:cs="Arial"/>
        </w:rPr>
        <w:br w:type="page"/>
      </w:r>
    </w:p>
    <w:p w14:paraId="156822E7" w14:textId="51470427" w:rsidR="001C3E14" w:rsidRPr="00D92FE6" w:rsidRDefault="001C3E14" w:rsidP="00D92FE6">
      <w:pPr>
        <w:pStyle w:val="Heading1"/>
        <w:spacing w:after="240"/>
        <w:rPr>
          <w:rFonts w:ascii="Arial" w:hAnsi="Arial" w:cs="Arial"/>
        </w:rPr>
      </w:pPr>
      <w:r>
        <w:rPr>
          <w:rFonts w:ascii="Arial" w:hAnsi="Arial" w:cs="Arial"/>
        </w:rPr>
        <w:lastRenderedPageBreak/>
        <w:t>Electorate and Communication Allowance</w:t>
      </w:r>
    </w:p>
    <w:p w14:paraId="12766D9A" w14:textId="77777777" w:rsidR="001C3E14" w:rsidRDefault="001C3E14" w:rsidP="00E92191">
      <w:pPr>
        <w:spacing w:before="200" w:after="120"/>
        <w:jc w:val="both"/>
        <w:rPr>
          <w:rFonts w:ascii="Arial" w:hAnsi="Arial" w:cs="Arial"/>
        </w:rPr>
      </w:pPr>
      <w:r>
        <w:rPr>
          <w:rFonts w:ascii="Arial" w:hAnsi="Arial" w:cs="Arial"/>
        </w:rPr>
        <w:t xml:space="preserve">The Electorate and Communication Allowance (ECA) </w:t>
      </w:r>
      <w:proofErr w:type="gramStart"/>
      <w:r>
        <w:rPr>
          <w:rFonts w:ascii="Arial" w:hAnsi="Arial" w:cs="Arial"/>
        </w:rPr>
        <w:t>is provided</w:t>
      </w:r>
      <w:proofErr w:type="gramEnd"/>
      <w:r>
        <w:rPr>
          <w:rFonts w:ascii="Arial" w:hAnsi="Arial" w:cs="Arial"/>
        </w:rPr>
        <w:t xml:space="preserve"> to cover a range of expenditure </w:t>
      </w:r>
      <w:r w:rsidRPr="00D92FE6">
        <w:rPr>
          <w:rFonts w:ascii="Arial" w:eastAsia="Calibri" w:hAnsi="Arial" w:cs="Arial"/>
        </w:rPr>
        <w:t>associated</w:t>
      </w:r>
      <w:r>
        <w:rPr>
          <w:rFonts w:ascii="Arial" w:hAnsi="Arial" w:cs="Arial"/>
        </w:rPr>
        <w:t xml:space="preserve"> with: </w:t>
      </w:r>
    </w:p>
    <w:p w14:paraId="6457783F" w14:textId="77777777" w:rsidR="001C3E14" w:rsidRDefault="001C3E14" w:rsidP="001C3E14">
      <w:pPr>
        <w:pStyle w:val="ListParagraph"/>
        <w:numPr>
          <w:ilvl w:val="0"/>
          <w:numId w:val="16"/>
        </w:numPr>
        <w:rPr>
          <w:rFonts w:ascii="Arial" w:hAnsi="Arial" w:cs="Arial"/>
        </w:rPr>
      </w:pPr>
      <w:r>
        <w:rPr>
          <w:rFonts w:ascii="Arial" w:hAnsi="Arial" w:cs="Arial"/>
        </w:rPr>
        <w:t>providing constituent assistance and service for the electorate</w:t>
      </w:r>
    </w:p>
    <w:p w14:paraId="0AACF7C9" w14:textId="77777777" w:rsidR="001C3E14" w:rsidRDefault="001C3E14" w:rsidP="00E92191">
      <w:pPr>
        <w:pStyle w:val="ListParagraph"/>
        <w:numPr>
          <w:ilvl w:val="0"/>
          <w:numId w:val="16"/>
        </w:numPr>
        <w:spacing w:before="120" w:after="120"/>
        <w:ind w:left="714" w:hanging="357"/>
        <w:contextualSpacing w:val="0"/>
        <w:rPr>
          <w:rFonts w:ascii="Arial" w:hAnsi="Arial" w:cs="Arial"/>
        </w:rPr>
      </w:pPr>
      <w:r>
        <w:rPr>
          <w:rFonts w:ascii="Arial" w:hAnsi="Arial" w:cs="Arial"/>
        </w:rPr>
        <w:t>obtaining and disseminating information to constituents that is relevant to fulfilling parliamentary and constituency responsibilities</w:t>
      </w:r>
    </w:p>
    <w:p w14:paraId="28AA86E7" w14:textId="77777777" w:rsidR="001C3E14" w:rsidRDefault="001C3E14" w:rsidP="001C3E14">
      <w:pPr>
        <w:pStyle w:val="ListParagraph"/>
        <w:numPr>
          <w:ilvl w:val="0"/>
          <w:numId w:val="16"/>
        </w:numPr>
        <w:rPr>
          <w:rFonts w:ascii="Arial" w:hAnsi="Arial" w:cs="Arial"/>
        </w:rPr>
      </w:pPr>
      <w:r>
        <w:rPr>
          <w:rFonts w:ascii="Arial" w:hAnsi="Arial" w:cs="Arial"/>
        </w:rPr>
        <w:t xml:space="preserve">meeting incidental costs relating to the operation of a member’s electorate office. </w:t>
      </w:r>
    </w:p>
    <w:p w14:paraId="52C10236" w14:textId="77777777" w:rsidR="001C3E14" w:rsidRDefault="001C3E14" w:rsidP="00E92191">
      <w:pPr>
        <w:spacing w:before="200" w:after="120"/>
        <w:jc w:val="both"/>
        <w:rPr>
          <w:rFonts w:ascii="Arial" w:hAnsi="Arial" w:cs="Arial"/>
        </w:rPr>
      </w:pPr>
      <w:r>
        <w:rPr>
          <w:rFonts w:ascii="Arial" w:hAnsi="Arial" w:cs="Arial"/>
        </w:rPr>
        <w:t xml:space="preserve">The ECA may not </w:t>
      </w:r>
      <w:proofErr w:type="gramStart"/>
      <w:r>
        <w:rPr>
          <w:rFonts w:ascii="Arial" w:hAnsi="Arial" w:cs="Arial"/>
        </w:rPr>
        <w:t>be used</w:t>
      </w:r>
      <w:proofErr w:type="gramEnd"/>
      <w:r>
        <w:rPr>
          <w:rFonts w:ascii="Arial" w:hAnsi="Arial" w:cs="Arial"/>
        </w:rPr>
        <w:t xml:space="preserve"> to meet expenditure for:</w:t>
      </w:r>
    </w:p>
    <w:p w14:paraId="517EA53D" w14:textId="77777777" w:rsidR="001C3E14" w:rsidRPr="00D47DAC" w:rsidRDefault="001C3E14" w:rsidP="00E92191">
      <w:pPr>
        <w:pStyle w:val="ListParagraph"/>
        <w:numPr>
          <w:ilvl w:val="0"/>
          <w:numId w:val="33"/>
        </w:numPr>
        <w:spacing w:before="120" w:after="120"/>
        <w:ind w:left="714" w:hanging="357"/>
        <w:contextualSpacing w:val="0"/>
        <w:rPr>
          <w:rFonts w:ascii="Arial" w:hAnsi="Arial" w:cs="Arial"/>
        </w:rPr>
      </w:pPr>
      <w:r>
        <w:rPr>
          <w:rFonts w:ascii="Arial" w:hAnsi="Arial" w:cs="Arial"/>
        </w:rPr>
        <w:t xml:space="preserve">private or commercial </w:t>
      </w:r>
      <w:r w:rsidRPr="00D47DAC">
        <w:rPr>
          <w:rFonts w:ascii="Arial" w:hAnsi="Arial" w:cs="Arial"/>
        </w:rPr>
        <w:t>purposes or to purchase goods and services where the member, or a connected party is the provider of the goods and services</w:t>
      </w:r>
    </w:p>
    <w:p w14:paraId="0295E3EA" w14:textId="77777777" w:rsidR="001C3E14" w:rsidRPr="00D47DAC" w:rsidRDefault="001C3E14" w:rsidP="00E92191">
      <w:pPr>
        <w:pStyle w:val="ListParagraph"/>
        <w:numPr>
          <w:ilvl w:val="0"/>
          <w:numId w:val="33"/>
        </w:numPr>
        <w:spacing w:before="120" w:after="120"/>
        <w:ind w:left="714" w:hanging="357"/>
        <w:contextualSpacing w:val="0"/>
        <w:rPr>
          <w:rFonts w:ascii="Arial" w:hAnsi="Arial" w:cs="Arial"/>
        </w:rPr>
      </w:pPr>
      <w:r w:rsidRPr="00D47DAC">
        <w:rPr>
          <w:rFonts w:ascii="Arial" w:hAnsi="Arial" w:cs="Arial"/>
        </w:rPr>
        <w:t>political party activity</w:t>
      </w:r>
    </w:p>
    <w:p w14:paraId="4B5537D0" w14:textId="6051A745" w:rsidR="001C3E14" w:rsidRDefault="001C3E14" w:rsidP="001E4C07">
      <w:pPr>
        <w:pStyle w:val="ListParagraph"/>
        <w:numPr>
          <w:ilvl w:val="0"/>
          <w:numId w:val="33"/>
        </w:numPr>
        <w:rPr>
          <w:rFonts w:ascii="Arial" w:hAnsi="Arial" w:cs="Arial"/>
        </w:rPr>
      </w:pPr>
      <w:r>
        <w:rPr>
          <w:rFonts w:ascii="Arial" w:hAnsi="Arial" w:cs="Arial"/>
        </w:rPr>
        <w:t xml:space="preserve">electioneering and campaigning purposes. </w:t>
      </w:r>
    </w:p>
    <w:p w14:paraId="7CBD79D3" w14:textId="77777777" w:rsidR="00FA2D80" w:rsidRDefault="00FA2D80" w:rsidP="00D92FE6">
      <w:pPr>
        <w:spacing w:before="200" w:after="200" w:line="276" w:lineRule="auto"/>
        <w:jc w:val="both"/>
        <w:rPr>
          <w:rFonts w:ascii="Arial" w:eastAsia="Calibri" w:hAnsi="Arial" w:cs="Arial"/>
        </w:rPr>
      </w:pPr>
      <w:r>
        <w:rPr>
          <w:rFonts w:ascii="Arial" w:eastAsia="Calibri" w:hAnsi="Arial" w:cs="Arial"/>
        </w:rPr>
        <w:t xml:space="preserve">The ECA </w:t>
      </w:r>
      <w:proofErr w:type="gramStart"/>
      <w:r>
        <w:rPr>
          <w:rFonts w:ascii="Arial" w:eastAsia="Calibri" w:hAnsi="Arial" w:cs="Arial"/>
        </w:rPr>
        <w:t>is divided</w:t>
      </w:r>
      <w:proofErr w:type="gramEnd"/>
      <w:r>
        <w:rPr>
          <w:rFonts w:ascii="Arial" w:eastAsia="Calibri" w:hAnsi="Arial" w:cs="Arial"/>
        </w:rPr>
        <w:t xml:space="preserve"> into seven categories of expenditure for reporting purposes: i) support for constituents and organisations; ii) hosting costs; iii) production, publication and distribution services; iv) telecommunications and data costs; v) minor equipment; vi) office expenses; and vii) other. </w:t>
      </w:r>
    </w:p>
    <w:p w14:paraId="0BF78C4A" w14:textId="63576062" w:rsidR="00FA2D80" w:rsidRDefault="00FA2D80" w:rsidP="00D92FE6">
      <w:pPr>
        <w:spacing w:before="200" w:after="200" w:line="276" w:lineRule="auto"/>
        <w:jc w:val="both"/>
        <w:rPr>
          <w:rFonts w:ascii="Arial" w:eastAsia="Calibri" w:hAnsi="Arial" w:cs="Arial"/>
        </w:rPr>
      </w:pPr>
      <w:r w:rsidRPr="0039092D">
        <w:rPr>
          <w:rFonts w:ascii="Arial" w:eastAsia="Calibri" w:hAnsi="Arial" w:cs="Arial"/>
        </w:rPr>
        <w:t xml:space="preserve">Electorates </w:t>
      </w:r>
      <w:proofErr w:type="gramStart"/>
      <w:r w:rsidRPr="0039092D">
        <w:rPr>
          <w:rFonts w:ascii="Arial" w:eastAsia="Calibri" w:hAnsi="Arial" w:cs="Arial"/>
        </w:rPr>
        <w:t>are grouped</w:t>
      </w:r>
      <w:proofErr w:type="gramEnd"/>
      <w:r w:rsidRPr="0039092D">
        <w:rPr>
          <w:rFonts w:ascii="Arial" w:eastAsia="Calibri" w:hAnsi="Arial" w:cs="Arial"/>
        </w:rPr>
        <w:t xml:space="preserve"> into four bands based on </w:t>
      </w:r>
      <w:r>
        <w:rPr>
          <w:rFonts w:ascii="Arial" w:eastAsia="Calibri" w:hAnsi="Arial" w:cs="Arial"/>
        </w:rPr>
        <w:t>the following</w:t>
      </w:r>
      <w:r w:rsidRPr="0039092D">
        <w:rPr>
          <w:rFonts w:ascii="Arial" w:eastAsia="Calibri" w:hAnsi="Arial" w:cs="Arial"/>
        </w:rPr>
        <w:t xml:space="preserve"> formula </w:t>
      </w:r>
      <w:r>
        <w:rPr>
          <w:rFonts w:ascii="Arial" w:eastAsia="Calibri" w:hAnsi="Arial" w:cs="Arial"/>
        </w:rPr>
        <w:t xml:space="preserve">which </w:t>
      </w:r>
      <w:r w:rsidRPr="0039092D">
        <w:rPr>
          <w:rFonts w:ascii="Arial" w:eastAsia="Calibri" w:hAnsi="Arial" w:cs="Arial"/>
        </w:rPr>
        <w:t>recogni</w:t>
      </w:r>
      <w:r>
        <w:rPr>
          <w:rFonts w:ascii="Arial" w:eastAsia="Calibri" w:hAnsi="Arial" w:cs="Arial"/>
        </w:rPr>
        <w:t xml:space="preserve">ses </w:t>
      </w:r>
      <w:r w:rsidRPr="0039092D">
        <w:rPr>
          <w:rFonts w:ascii="Arial" w:eastAsia="Calibri" w:hAnsi="Arial" w:cs="Arial"/>
        </w:rPr>
        <w:t xml:space="preserve">the impact of both </w:t>
      </w:r>
      <w:r>
        <w:rPr>
          <w:rFonts w:ascii="Arial" w:eastAsia="Calibri" w:hAnsi="Arial" w:cs="Arial"/>
        </w:rPr>
        <w:t xml:space="preserve">the number of electors </w:t>
      </w:r>
      <w:r w:rsidRPr="0039092D">
        <w:rPr>
          <w:rFonts w:ascii="Arial" w:eastAsia="Calibri" w:hAnsi="Arial" w:cs="Arial"/>
        </w:rPr>
        <w:t>and area</w:t>
      </w:r>
      <w:r>
        <w:rPr>
          <w:rFonts w:ascii="Arial" w:eastAsia="Calibri" w:hAnsi="Arial" w:cs="Arial"/>
        </w:rPr>
        <w:t xml:space="preserve"> of the ele</w:t>
      </w:r>
      <w:r w:rsidR="00F514C0">
        <w:rPr>
          <w:rFonts w:ascii="Arial" w:eastAsia="Calibri" w:hAnsi="Arial" w:cs="Arial"/>
        </w:rPr>
        <w:t>ctorate</w:t>
      </w:r>
      <w:r w:rsidRPr="0039092D">
        <w:rPr>
          <w:rFonts w:ascii="Arial" w:eastAsia="Calibri" w:hAnsi="Arial" w:cs="Arial"/>
        </w:rPr>
        <w:t xml:space="preserve"> on </w:t>
      </w:r>
      <w:r>
        <w:rPr>
          <w:rFonts w:ascii="Arial" w:eastAsia="Calibri" w:hAnsi="Arial" w:cs="Arial"/>
        </w:rPr>
        <w:t xml:space="preserve">usage of the </w:t>
      </w:r>
      <w:r w:rsidRPr="0039092D">
        <w:rPr>
          <w:rFonts w:ascii="Arial" w:eastAsia="Calibri" w:hAnsi="Arial" w:cs="Arial"/>
        </w:rPr>
        <w:t>ECA</w:t>
      </w:r>
      <w:r>
        <w:rPr>
          <w:rFonts w:ascii="Arial" w:eastAsia="Calibri" w:hAnsi="Arial" w:cs="Arial"/>
        </w:rPr>
        <w:t>:</w:t>
      </w:r>
    </w:p>
    <w:p w14:paraId="32CDB771" w14:textId="77777777" w:rsidR="00FA2D80" w:rsidRDefault="00FA2D80" w:rsidP="00FA2D80">
      <w:pPr>
        <w:spacing w:before="240" w:after="120" w:line="276" w:lineRule="auto"/>
        <w:ind w:left="720"/>
        <w:jc w:val="both"/>
        <w:rPr>
          <w:rFonts w:ascii="Arial" w:eastAsia="Calibri" w:hAnsi="Arial" w:cs="Arial"/>
          <w:i/>
          <w:iCs/>
        </w:rPr>
      </w:pPr>
      <w:r>
        <w:rPr>
          <w:rFonts w:ascii="Arial" w:eastAsia="Calibri" w:hAnsi="Arial" w:cs="Arial"/>
          <w:i/>
          <w:iCs/>
        </w:rPr>
        <w:t xml:space="preserve">Band = (60 cents per person registered on the electoral roll) + (1.5 cents per square kilometre of electorate area (land only)). </w:t>
      </w:r>
    </w:p>
    <w:p w14:paraId="19034B9C" w14:textId="508919A8" w:rsidR="00FA2D80" w:rsidRDefault="00FA2D80" w:rsidP="00D92FE6">
      <w:pPr>
        <w:spacing w:before="200" w:after="200" w:line="276" w:lineRule="auto"/>
        <w:jc w:val="both"/>
        <w:rPr>
          <w:rFonts w:ascii="Arial" w:eastAsia="Calibri" w:hAnsi="Arial" w:cs="Arial"/>
        </w:rPr>
      </w:pPr>
      <w:r>
        <w:rPr>
          <w:rFonts w:ascii="Arial" w:eastAsia="Calibri" w:hAnsi="Arial" w:cs="Arial"/>
        </w:rPr>
        <w:t>The quantum of ECA for each band (set in Determination 21/2020)</w:t>
      </w:r>
      <w:r w:rsidRPr="0039092D">
        <w:rPr>
          <w:rFonts w:ascii="Arial" w:eastAsia="Calibri" w:hAnsi="Arial" w:cs="Arial"/>
        </w:rPr>
        <w:t xml:space="preserve"> </w:t>
      </w:r>
      <w:proofErr w:type="gramStart"/>
      <w:r w:rsidRPr="0039092D">
        <w:rPr>
          <w:rFonts w:ascii="Arial" w:eastAsia="Calibri" w:hAnsi="Arial" w:cs="Arial"/>
        </w:rPr>
        <w:t>are</w:t>
      </w:r>
      <w:r>
        <w:rPr>
          <w:rFonts w:ascii="Arial" w:eastAsia="Calibri" w:hAnsi="Arial" w:cs="Arial"/>
        </w:rPr>
        <w:t xml:space="preserve"> shown</w:t>
      </w:r>
      <w:proofErr w:type="gramEnd"/>
      <w:r>
        <w:rPr>
          <w:rFonts w:ascii="Arial" w:eastAsia="Calibri" w:hAnsi="Arial" w:cs="Arial"/>
        </w:rPr>
        <w:t xml:space="preserve"> in Table 1.</w:t>
      </w:r>
    </w:p>
    <w:p w14:paraId="2E78662E" w14:textId="78811C70" w:rsidR="00FA2D80" w:rsidRDefault="00FA2D80" w:rsidP="00FA2D80">
      <w:pPr>
        <w:spacing w:before="200" w:after="200" w:line="276" w:lineRule="auto"/>
        <w:jc w:val="both"/>
        <w:rPr>
          <w:rFonts w:ascii="Arial" w:eastAsia="Calibri" w:hAnsi="Arial" w:cs="Arial"/>
          <w:u w:val="single"/>
        </w:rPr>
      </w:pPr>
      <w:r>
        <w:rPr>
          <w:rFonts w:ascii="Arial" w:eastAsia="Calibri" w:hAnsi="Arial" w:cs="Arial"/>
          <w:u w:val="single"/>
        </w:rPr>
        <w:t>Table 1:</w:t>
      </w:r>
      <w:r w:rsidR="00DD017E">
        <w:rPr>
          <w:rFonts w:ascii="Arial" w:eastAsia="Calibri" w:hAnsi="Arial" w:cs="Arial"/>
          <w:u w:val="single"/>
        </w:rPr>
        <w:t xml:space="preserve"> </w:t>
      </w:r>
      <w:r w:rsidR="517E0805" w:rsidRPr="53127E51">
        <w:rPr>
          <w:rFonts w:ascii="Arial" w:eastAsia="Calibri" w:hAnsi="Arial" w:cs="Arial"/>
          <w:u w:val="single"/>
        </w:rPr>
        <w:t xml:space="preserve">Quantum of ECA </w:t>
      </w:r>
      <w:r w:rsidR="0020265D">
        <w:rPr>
          <w:rFonts w:ascii="Arial" w:eastAsia="Calibri" w:hAnsi="Arial" w:cs="Arial"/>
          <w:u w:val="single"/>
        </w:rPr>
        <w:t>B</w:t>
      </w:r>
      <w:r w:rsidR="517E0805" w:rsidRPr="53127E51">
        <w:rPr>
          <w:rFonts w:ascii="Arial" w:eastAsia="Calibri" w:hAnsi="Arial" w:cs="Arial"/>
          <w:u w:val="single"/>
        </w:rPr>
        <w:t>ands</w:t>
      </w:r>
    </w:p>
    <w:tbl>
      <w:tblPr>
        <w:tblStyle w:val="TableGrid"/>
        <w:tblW w:w="5685" w:type="dxa"/>
        <w:tblInd w:w="1970" w:type="dxa"/>
        <w:tblLook w:val="04A0" w:firstRow="1" w:lastRow="0" w:firstColumn="1" w:lastColumn="0" w:noHBand="0" w:noVBand="1"/>
      </w:tblPr>
      <w:tblGrid>
        <w:gridCol w:w="1207"/>
        <w:gridCol w:w="4478"/>
      </w:tblGrid>
      <w:tr w:rsidR="00D034C5" w:rsidRPr="00290649" w14:paraId="155A2A73" w14:textId="77777777" w:rsidTr="00961637">
        <w:trPr>
          <w:trHeight w:val="300"/>
        </w:trPr>
        <w:tc>
          <w:tcPr>
            <w:tcW w:w="1207" w:type="dxa"/>
            <w:shd w:val="clear" w:color="auto" w:fill="8EAADB" w:themeFill="accent1" w:themeFillTint="99"/>
            <w:hideMark/>
          </w:tcPr>
          <w:p w14:paraId="5BF4C9A0" w14:textId="77777777" w:rsidR="00725982" w:rsidRPr="00290649" w:rsidRDefault="00725982" w:rsidP="00C827F2">
            <w:pPr>
              <w:rPr>
                <w:rFonts w:ascii="Arial" w:eastAsia="Calibri" w:hAnsi="Arial" w:cs="Arial"/>
                <w:b/>
                <w:bCs/>
              </w:rPr>
            </w:pPr>
            <w:r w:rsidRPr="00290649">
              <w:rPr>
                <w:rFonts w:ascii="Arial" w:eastAsia="Calibri" w:hAnsi="Arial" w:cs="Arial"/>
                <w:b/>
                <w:bCs/>
              </w:rPr>
              <w:t>Band</w:t>
            </w:r>
          </w:p>
        </w:tc>
        <w:tc>
          <w:tcPr>
            <w:tcW w:w="4478" w:type="dxa"/>
            <w:shd w:val="clear" w:color="auto" w:fill="8EAADB" w:themeFill="accent1" w:themeFillTint="99"/>
            <w:hideMark/>
          </w:tcPr>
          <w:p w14:paraId="55861ED8" w14:textId="4D380760" w:rsidR="00725982" w:rsidRPr="00290649" w:rsidRDefault="00725982" w:rsidP="00C827F2">
            <w:pPr>
              <w:spacing w:line="276" w:lineRule="auto"/>
              <w:jc w:val="center"/>
              <w:rPr>
                <w:rFonts w:ascii="Arial" w:eastAsia="Calibri" w:hAnsi="Arial" w:cs="Arial"/>
                <w:b/>
                <w:bCs/>
              </w:rPr>
            </w:pPr>
            <w:r w:rsidRPr="00290649">
              <w:rPr>
                <w:rFonts w:ascii="Arial" w:eastAsia="Calibri" w:hAnsi="Arial" w:cs="Arial"/>
                <w:b/>
                <w:bCs/>
              </w:rPr>
              <w:t>Quantum of ECA for each Band</w:t>
            </w:r>
          </w:p>
        </w:tc>
      </w:tr>
      <w:tr w:rsidR="00440152" w:rsidRPr="00CE2921" w14:paraId="5C411FF8" w14:textId="77777777" w:rsidTr="00961637">
        <w:tc>
          <w:tcPr>
            <w:tcW w:w="1207" w:type="dxa"/>
            <w:shd w:val="clear" w:color="auto" w:fill="D9E2F3" w:themeFill="accent1" w:themeFillTint="33"/>
            <w:hideMark/>
          </w:tcPr>
          <w:p w14:paraId="3F1B396C" w14:textId="77777777" w:rsidR="00725982" w:rsidRPr="0081131E" w:rsidRDefault="00725982" w:rsidP="00C827F2">
            <w:pPr>
              <w:spacing w:line="276" w:lineRule="auto"/>
              <w:rPr>
                <w:rFonts w:ascii="Arial" w:eastAsia="Calibri" w:hAnsi="Arial" w:cs="Arial"/>
              </w:rPr>
            </w:pPr>
            <w:r w:rsidRPr="0081131E">
              <w:rPr>
                <w:rFonts w:ascii="Arial" w:eastAsia="Calibri" w:hAnsi="Arial" w:cs="Arial"/>
              </w:rPr>
              <w:t>1</w:t>
            </w:r>
          </w:p>
        </w:tc>
        <w:tc>
          <w:tcPr>
            <w:tcW w:w="4478" w:type="dxa"/>
            <w:hideMark/>
          </w:tcPr>
          <w:p w14:paraId="6E054BFD" w14:textId="7FE2C574" w:rsidR="00725982" w:rsidRPr="00CE2921" w:rsidRDefault="00725982" w:rsidP="00C827F2">
            <w:pPr>
              <w:spacing w:line="276" w:lineRule="auto"/>
              <w:jc w:val="center"/>
              <w:rPr>
                <w:rFonts w:ascii="Arial" w:eastAsia="Calibri" w:hAnsi="Arial" w:cs="Arial"/>
              </w:rPr>
            </w:pPr>
            <w:r w:rsidRPr="00CE2921">
              <w:rPr>
                <w:rFonts w:ascii="Arial" w:eastAsia="Calibri" w:hAnsi="Arial" w:cs="Arial"/>
              </w:rPr>
              <w:t>$89,200</w:t>
            </w:r>
          </w:p>
        </w:tc>
      </w:tr>
      <w:tr w:rsidR="00440152" w:rsidRPr="00CE2921" w14:paraId="6DD7378E" w14:textId="77777777" w:rsidTr="00961637">
        <w:tc>
          <w:tcPr>
            <w:tcW w:w="1207" w:type="dxa"/>
            <w:shd w:val="clear" w:color="auto" w:fill="D9E2F3" w:themeFill="accent1" w:themeFillTint="33"/>
            <w:hideMark/>
          </w:tcPr>
          <w:p w14:paraId="49745F0F" w14:textId="77777777" w:rsidR="00725982" w:rsidRPr="0081131E" w:rsidRDefault="00725982" w:rsidP="00C827F2">
            <w:pPr>
              <w:spacing w:line="276" w:lineRule="auto"/>
              <w:rPr>
                <w:rFonts w:ascii="Arial" w:eastAsia="Calibri" w:hAnsi="Arial" w:cs="Arial"/>
              </w:rPr>
            </w:pPr>
            <w:r w:rsidRPr="0081131E">
              <w:rPr>
                <w:rFonts w:ascii="Arial" w:eastAsia="Calibri" w:hAnsi="Arial" w:cs="Arial"/>
              </w:rPr>
              <w:t>2</w:t>
            </w:r>
          </w:p>
        </w:tc>
        <w:tc>
          <w:tcPr>
            <w:tcW w:w="4478" w:type="dxa"/>
            <w:hideMark/>
          </w:tcPr>
          <w:p w14:paraId="2660E252" w14:textId="0A2A9FB0" w:rsidR="00725982" w:rsidRPr="00CE2921" w:rsidRDefault="00725982" w:rsidP="00C827F2">
            <w:pPr>
              <w:spacing w:line="276" w:lineRule="auto"/>
              <w:jc w:val="center"/>
              <w:rPr>
                <w:rFonts w:ascii="Arial" w:eastAsia="Calibri" w:hAnsi="Arial" w:cs="Arial"/>
              </w:rPr>
            </w:pPr>
            <w:r w:rsidRPr="00CE2921">
              <w:rPr>
                <w:rFonts w:ascii="Arial" w:eastAsia="Calibri" w:hAnsi="Arial" w:cs="Arial"/>
              </w:rPr>
              <w:t>$90,900</w:t>
            </w:r>
          </w:p>
        </w:tc>
      </w:tr>
      <w:tr w:rsidR="00440152" w:rsidRPr="00CE2921" w14:paraId="58DE8B03" w14:textId="77777777" w:rsidTr="00961637">
        <w:tc>
          <w:tcPr>
            <w:tcW w:w="1207" w:type="dxa"/>
            <w:shd w:val="clear" w:color="auto" w:fill="D9E2F3" w:themeFill="accent1" w:themeFillTint="33"/>
            <w:hideMark/>
          </w:tcPr>
          <w:p w14:paraId="747B45A2" w14:textId="77777777" w:rsidR="00725982" w:rsidRPr="0081131E" w:rsidRDefault="00725982" w:rsidP="00C827F2">
            <w:pPr>
              <w:spacing w:line="276" w:lineRule="auto"/>
              <w:rPr>
                <w:rFonts w:ascii="Arial" w:eastAsia="Calibri" w:hAnsi="Arial" w:cs="Arial"/>
              </w:rPr>
            </w:pPr>
            <w:r w:rsidRPr="0081131E">
              <w:rPr>
                <w:rFonts w:ascii="Arial" w:eastAsia="Calibri" w:hAnsi="Arial" w:cs="Arial"/>
              </w:rPr>
              <w:t>3</w:t>
            </w:r>
          </w:p>
        </w:tc>
        <w:tc>
          <w:tcPr>
            <w:tcW w:w="4478" w:type="dxa"/>
            <w:hideMark/>
          </w:tcPr>
          <w:p w14:paraId="7017B743" w14:textId="3E0FB464" w:rsidR="00725982" w:rsidRPr="00CE2921" w:rsidRDefault="00725982" w:rsidP="00C827F2">
            <w:pPr>
              <w:spacing w:line="276" w:lineRule="auto"/>
              <w:jc w:val="center"/>
              <w:rPr>
                <w:rFonts w:ascii="Arial" w:eastAsia="Calibri" w:hAnsi="Arial" w:cs="Arial"/>
              </w:rPr>
            </w:pPr>
            <w:r w:rsidRPr="00CE2921">
              <w:rPr>
                <w:rFonts w:ascii="Arial" w:eastAsia="Calibri" w:hAnsi="Arial" w:cs="Arial"/>
              </w:rPr>
              <w:t>$93,400</w:t>
            </w:r>
          </w:p>
        </w:tc>
      </w:tr>
      <w:tr w:rsidR="00440152" w:rsidRPr="00CE2921" w14:paraId="187D6BDC" w14:textId="77777777" w:rsidTr="00961637">
        <w:tc>
          <w:tcPr>
            <w:tcW w:w="1207" w:type="dxa"/>
            <w:shd w:val="clear" w:color="auto" w:fill="D9E2F3" w:themeFill="accent1" w:themeFillTint="33"/>
            <w:hideMark/>
          </w:tcPr>
          <w:p w14:paraId="6C87CDBA" w14:textId="77777777" w:rsidR="00725982" w:rsidRPr="0081131E" w:rsidRDefault="00725982" w:rsidP="00C827F2">
            <w:pPr>
              <w:spacing w:line="276" w:lineRule="auto"/>
              <w:rPr>
                <w:rFonts w:ascii="Arial" w:eastAsia="Calibri" w:hAnsi="Arial" w:cs="Arial"/>
              </w:rPr>
            </w:pPr>
            <w:r w:rsidRPr="0081131E">
              <w:rPr>
                <w:rFonts w:ascii="Arial" w:eastAsia="Calibri" w:hAnsi="Arial" w:cs="Arial"/>
              </w:rPr>
              <w:t>4</w:t>
            </w:r>
          </w:p>
        </w:tc>
        <w:tc>
          <w:tcPr>
            <w:tcW w:w="4478" w:type="dxa"/>
            <w:hideMark/>
          </w:tcPr>
          <w:p w14:paraId="712E4E44" w14:textId="0FBD65AB" w:rsidR="00725982" w:rsidRPr="00CE2921" w:rsidRDefault="00725982" w:rsidP="00C827F2">
            <w:pPr>
              <w:spacing w:line="276" w:lineRule="auto"/>
              <w:jc w:val="center"/>
              <w:rPr>
                <w:rFonts w:ascii="Arial" w:eastAsia="Calibri" w:hAnsi="Arial" w:cs="Arial"/>
              </w:rPr>
            </w:pPr>
            <w:r w:rsidRPr="00CE2921">
              <w:rPr>
                <w:rFonts w:ascii="Arial" w:eastAsia="Calibri" w:hAnsi="Arial" w:cs="Arial"/>
              </w:rPr>
              <w:t>$95,200</w:t>
            </w:r>
          </w:p>
        </w:tc>
      </w:tr>
    </w:tbl>
    <w:p w14:paraId="6ACF2E3D" w14:textId="221034B7" w:rsidR="00FA2D80" w:rsidRPr="00520642" w:rsidRDefault="00FA2D80" w:rsidP="00520642">
      <w:pPr>
        <w:spacing w:before="200" w:after="120" w:line="276" w:lineRule="auto"/>
        <w:jc w:val="both"/>
        <w:rPr>
          <w:rFonts w:ascii="Arial" w:eastAsia="Calibri" w:hAnsi="Arial" w:cs="Arial"/>
        </w:rPr>
      </w:pPr>
      <w:r w:rsidRPr="00520642">
        <w:rPr>
          <w:rFonts w:ascii="Arial" w:eastAsia="Calibri" w:hAnsi="Arial" w:cs="Arial"/>
        </w:rPr>
        <w:t>Members representing an electoral district of 100,000km</w:t>
      </w:r>
      <w:r w:rsidRPr="00961637">
        <w:rPr>
          <w:rFonts w:ascii="Arial" w:eastAsia="Calibri" w:hAnsi="Arial" w:cs="Arial"/>
          <w:vertAlign w:val="superscript"/>
        </w:rPr>
        <w:t>2</w:t>
      </w:r>
      <w:r w:rsidRPr="00520642">
        <w:rPr>
          <w:rFonts w:ascii="Arial" w:eastAsia="Calibri" w:hAnsi="Arial" w:cs="Arial"/>
        </w:rPr>
        <w:t xml:space="preserve"> or more can elect to </w:t>
      </w:r>
      <w:proofErr w:type="gramStart"/>
      <w:r w:rsidRPr="00520642">
        <w:rPr>
          <w:rFonts w:ascii="Arial" w:eastAsia="Calibri" w:hAnsi="Arial" w:cs="Arial"/>
        </w:rPr>
        <w:t>be provided</w:t>
      </w:r>
      <w:proofErr w:type="gramEnd"/>
      <w:r w:rsidRPr="00520642">
        <w:rPr>
          <w:rFonts w:ascii="Arial" w:eastAsia="Calibri" w:hAnsi="Arial" w:cs="Arial"/>
        </w:rPr>
        <w:t xml:space="preserve"> with an additional electorate office. If the member has an additional electoral office, they receive an additional $1,500 per annum to supplement the ECA rates for electorate office cleaning costs (Determination 16/2017). </w:t>
      </w:r>
    </w:p>
    <w:p w14:paraId="7ED2A0D2" w14:textId="728967A5" w:rsidR="00B35D0B" w:rsidRPr="00520642" w:rsidRDefault="00B35D0B" w:rsidP="00520642">
      <w:pPr>
        <w:spacing w:before="200" w:after="120" w:line="276" w:lineRule="auto"/>
        <w:jc w:val="both"/>
        <w:rPr>
          <w:rFonts w:ascii="Arial" w:eastAsia="Calibri" w:hAnsi="Arial" w:cs="Arial"/>
        </w:rPr>
      </w:pPr>
      <w:r w:rsidRPr="00520642">
        <w:rPr>
          <w:rFonts w:ascii="Arial" w:eastAsia="Calibri" w:hAnsi="Arial" w:cs="Arial"/>
        </w:rPr>
        <w:t xml:space="preserve">The </w:t>
      </w:r>
      <w:r w:rsidRPr="00520642">
        <w:rPr>
          <w:rFonts w:ascii="Arial" w:eastAsia="Calibri" w:hAnsi="Arial" w:cs="Arial"/>
          <w:i/>
          <w:iCs/>
        </w:rPr>
        <w:t>Annual Report of Electorate and Communication Allowance Expenditure by Members of the Legislative Assembly for the period 1 July 2020 to 30 June 2021</w:t>
      </w:r>
      <w:r w:rsidRPr="00520642">
        <w:rPr>
          <w:rFonts w:ascii="Arial" w:eastAsia="Calibri" w:hAnsi="Arial" w:cs="Arial"/>
        </w:rPr>
        <w:t xml:space="preserve"> </w:t>
      </w:r>
      <w:r w:rsidR="7D183553" w:rsidRPr="5CDA28D0">
        <w:rPr>
          <w:rFonts w:ascii="Arial" w:eastAsia="Calibri" w:hAnsi="Arial" w:cs="Arial"/>
        </w:rPr>
        <w:t xml:space="preserve">(the 2020-21 Annual Report of ECA Expenditure) </w:t>
      </w:r>
      <w:proofErr w:type="gramStart"/>
      <w:r w:rsidRPr="00520642">
        <w:rPr>
          <w:rFonts w:ascii="Arial" w:eastAsia="Calibri" w:hAnsi="Arial" w:cs="Arial"/>
        </w:rPr>
        <w:t>was tabled</w:t>
      </w:r>
      <w:proofErr w:type="gramEnd"/>
      <w:r w:rsidRPr="00520642">
        <w:rPr>
          <w:rFonts w:ascii="Arial" w:eastAsia="Calibri" w:hAnsi="Arial" w:cs="Arial"/>
        </w:rPr>
        <w:t xml:space="preserve"> by the Clerk of the Legislative Assembly on 28 September 2021.</w:t>
      </w:r>
    </w:p>
    <w:p w14:paraId="1AB49F99" w14:textId="77777777" w:rsidR="001C3E14" w:rsidRDefault="001C3E14" w:rsidP="00AA6D10">
      <w:pPr>
        <w:pStyle w:val="Subtitle"/>
        <w:keepNext/>
        <w:keepLines/>
        <w:spacing w:before="200" w:after="200" w:line="257" w:lineRule="auto"/>
        <w:rPr>
          <w:rFonts w:ascii="Arial" w:hAnsi="Arial" w:cs="Arial"/>
          <w:sz w:val="22"/>
          <w:szCs w:val="22"/>
        </w:rPr>
      </w:pPr>
      <w:r>
        <w:rPr>
          <w:rFonts w:ascii="Arial" w:hAnsi="Arial" w:cs="Arial"/>
          <w:sz w:val="22"/>
          <w:szCs w:val="22"/>
        </w:rPr>
        <w:t>ECA bands and electoral roll data</w:t>
      </w:r>
    </w:p>
    <w:p w14:paraId="3B448741" w14:textId="7A9B7310" w:rsidR="005D663E" w:rsidRDefault="008A4A59" w:rsidP="005D663E">
      <w:pPr>
        <w:spacing w:before="200" w:after="200" w:line="276" w:lineRule="auto"/>
        <w:jc w:val="both"/>
        <w:rPr>
          <w:rFonts w:ascii="Arial" w:eastAsia="Calibri" w:hAnsi="Arial" w:cs="Arial"/>
        </w:rPr>
      </w:pPr>
      <w:r>
        <w:rPr>
          <w:rFonts w:ascii="Arial" w:hAnsi="Arial" w:cs="Arial"/>
        </w:rPr>
        <w:t xml:space="preserve">Previously, the </w:t>
      </w:r>
      <w:r w:rsidR="001C3E14">
        <w:rPr>
          <w:rFonts w:ascii="Arial" w:hAnsi="Arial" w:cs="Arial"/>
        </w:rPr>
        <w:t xml:space="preserve">Tribunal has committed to </w:t>
      </w:r>
      <w:r w:rsidR="001C3E14">
        <w:rPr>
          <w:rFonts w:ascii="Arial" w:eastAsia="Calibri" w:hAnsi="Arial" w:cs="Arial"/>
        </w:rPr>
        <w:t xml:space="preserve">reviewing electoral roll data and making any necessary adjustments to the allocation of electorates to bands. </w:t>
      </w:r>
      <w:r w:rsidR="003E03ED">
        <w:rPr>
          <w:rFonts w:ascii="Arial" w:eastAsia="Calibri" w:hAnsi="Arial" w:cs="Arial"/>
        </w:rPr>
        <w:t>Data from the Electoral Commission of Q</w:t>
      </w:r>
      <w:r w:rsidR="005237DB">
        <w:rPr>
          <w:rFonts w:ascii="Arial" w:eastAsia="Calibri" w:hAnsi="Arial" w:cs="Arial"/>
        </w:rPr>
        <w:t>u</w:t>
      </w:r>
      <w:r w:rsidR="003E03ED">
        <w:rPr>
          <w:rFonts w:ascii="Arial" w:eastAsia="Calibri" w:hAnsi="Arial" w:cs="Arial"/>
        </w:rPr>
        <w:t>eensland</w:t>
      </w:r>
      <w:r w:rsidR="005237DB">
        <w:rPr>
          <w:rFonts w:ascii="Arial" w:eastAsia="Calibri" w:hAnsi="Arial" w:cs="Arial"/>
        </w:rPr>
        <w:t xml:space="preserve"> </w:t>
      </w:r>
      <w:r w:rsidR="00796923">
        <w:rPr>
          <w:rFonts w:ascii="Arial" w:eastAsia="Calibri" w:hAnsi="Arial" w:cs="Arial"/>
        </w:rPr>
        <w:t xml:space="preserve">(ECQ) </w:t>
      </w:r>
      <w:r w:rsidR="005237DB">
        <w:rPr>
          <w:rFonts w:ascii="Arial" w:eastAsia="Calibri" w:hAnsi="Arial" w:cs="Arial"/>
        </w:rPr>
        <w:t xml:space="preserve">as </w:t>
      </w:r>
      <w:r w:rsidR="003E03ED">
        <w:rPr>
          <w:rFonts w:ascii="Arial" w:eastAsia="Calibri" w:hAnsi="Arial" w:cs="Arial"/>
        </w:rPr>
        <w:t>at</w:t>
      </w:r>
      <w:r w:rsidR="003E03ED" w:rsidRPr="000E08BE">
        <w:rPr>
          <w:rFonts w:ascii="Arial" w:eastAsia="Calibri" w:hAnsi="Arial" w:cs="Arial"/>
        </w:rPr>
        <w:t xml:space="preserve"> </w:t>
      </w:r>
      <w:r w:rsidR="003E03ED">
        <w:rPr>
          <w:rFonts w:ascii="Arial" w:eastAsia="Calibri" w:hAnsi="Arial" w:cs="Arial"/>
        </w:rPr>
        <w:t>29 October</w:t>
      </w:r>
      <w:r w:rsidR="003E03ED" w:rsidRPr="000E08BE">
        <w:rPr>
          <w:rFonts w:ascii="Arial" w:eastAsia="Calibri" w:hAnsi="Arial" w:cs="Arial"/>
        </w:rPr>
        <w:t xml:space="preserve"> 2021 shows an additional </w:t>
      </w:r>
      <w:r w:rsidR="003E03ED">
        <w:rPr>
          <w:rFonts w:ascii="Arial" w:eastAsia="Calibri" w:hAnsi="Arial" w:cs="Arial"/>
        </w:rPr>
        <w:t>50,086</w:t>
      </w:r>
      <w:r w:rsidR="003E03ED" w:rsidRPr="000E08BE">
        <w:rPr>
          <w:rFonts w:ascii="Arial" w:eastAsia="Calibri" w:hAnsi="Arial" w:cs="Arial"/>
        </w:rPr>
        <w:t xml:space="preserve"> enrolments have </w:t>
      </w:r>
      <w:proofErr w:type="gramStart"/>
      <w:r w:rsidR="003E03ED" w:rsidRPr="000E08BE">
        <w:rPr>
          <w:rFonts w:ascii="Arial" w:eastAsia="Calibri" w:hAnsi="Arial" w:cs="Arial"/>
        </w:rPr>
        <w:t>been added</w:t>
      </w:r>
      <w:proofErr w:type="gramEnd"/>
      <w:r w:rsidR="003E03ED" w:rsidRPr="000E08BE">
        <w:rPr>
          <w:rFonts w:ascii="Arial" w:eastAsia="Calibri" w:hAnsi="Arial" w:cs="Arial"/>
        </w:rPr>
        <w:t xml:space="preserve"> to the State electoral roll since</w:t>
      </w:r>
      <w:r w:rsidR="003E03ED">
        <w:rPr>
          <w:rFonts w:ascii="Arial" w:eastAsia="Calibri" w:hAnsi="Arial" w:cs="Arial"/>
        </w:rPr>
        <w:t xml:space="preserve"> the</w:t>
      </w:r>
      <w:r w:rsidR="003E03ED" w:rsidRPr="000E08BE">
        <w:rPr>
          <w:rFonts w:ascii="Arial" w:eastAsia="Calibri" w:hAnsi="Arial" w:cs="Arial"/>
        </w:rPr>
        <w:t xml:space="preserve"> </w:t>
      </w:r>
      <w:r w:rsidR="003E03ED">
        <w:rPr>
          <w:rFonts w:ascii="Arial" w:eastAsia="Calibri" w:hAnsi="Arial" w:cs="Arial"/>
        </w:rPr>
        <w:t xml:space="preserve">ECA was last </w:t>
      </w:r>
      <w:r w:rsidR="003E03ED" w:rsidRPr="000E08BE">
        <w:rPr>
          <w:rFonts w:ascii="Arial" w:eastAsia="Calibri" w:hAnsi="Arial" w:cs="Arial"/>
        </w:rPr>
        <w:t>considered by the Tribunal on 29 January 2021</w:t>
      </w:r>
      <w:r w:rsidR="001C3E14">
        <w:rPr>
          <w:rFonts w:ascii="Arial" w:eastAsia="Calibri" w:hAnsi="Arial" w:cs="Arial"/>
        </w:rPr>
        <w:t xml:space="preserve">. </w:t>
      </w:r>
    </w:p>
    <w:p w14:paraId="29FCBDAA" w14:textId="2F1C7AA1" w:rsidR="00BC5AC3" w:rsidRDefault="009A2B44" w:rsidP="005D663E">
      <w:pPr>
        <w:spacing w:before="200" w:after="120" w:line="276" w:lineRule="auto"/>
        <w:jc w:val="both"/>
        <w:rPr>
          <w:rFonts w:ascii="Arial" w:hAnsi="Arial" w:cs="Arial"/>
        </w:rPr>
      </w:pPr>
      <w:r w:rsidRPr="00BC5AC3">
        <w:rPr>
          <w:rFonts w:ascii="Arial" w:hAnsi="Arial" w:cs="Arial"/>
        </w:rPr>
        <w:lastRenderedPageBreak/>
        <w:t xml:space="preserve">Based on the </w:t>
      </w:r>
      <w:r w:rsidR="00675444" w:rsidRPr="5930F867">
        <w:rPr>
          <w:rFonts w:ascii="Arial" w:hAnsi="Arial" w:cs="Arial"/>
        </w:rPr>
        <w:t xml:space="preserve">29 October 2021 </w:t>
      </w:r>
      <w:r w:rsidR="00FB2204" w:rsidRPr="00BC5AC3">
        <w:rPr>
          <w:rFonts w:ascii="Arial" w:hAnsi="Arial" w:cs="Arial"/>
        </w:rPr>
        <w:t>electoral</w:t>
      </w:r>
      <w:r w:rsidR="00743A91" w:rsidRPr="00BC5AC3">
        <w:rPr>
          <w:rFonts w:ascii="Arial" w:hAnsi="Arial" w:cs="Arial"/>
        </w:rPr>
        <w:t xml:space="preserve"> </w:t>
      </w:r>
      <w:r w:rsidR="006A1D99" w:rsidRPr="00BC5AC3">
        <w:rPr>
          <w:rFonts w:ascii="Arial" w:hAnsi="Arial" w:cs="Arial"/>
        </w:rPr>
        <w:t xml:space="preserve">roll data </w:t>
      </w:r>
      <w:r w:rsidR="00BC5AC3" w:rsidRPr="00BC5AC3">
        <w:rPr>
          <w:rFonts w:ascii="Arial" w:hAnsi="Arial" w:cs="Arial"/>
        </w:rPr>
        <w:t>12 electorates would move bands as follows:</w:t>
      </w:r>
    </w:p>
    <w:p w14:paraId="6004F1CE" w14:textId="77777777" w:rsidR="00BC5AC3" w:rsidRPr="00BC5AC3" w:rsidRDefault="00BC5AC3" w:rsidP="00126CF2">
      <w:pPr>
        <w:pStyle w:val="ListParagraph"/>
        <w:numPr>
          <w:ilvl w:val="0"/>
          <w:numId w:val="34"/>
        </w:numPr>
        <w:spacing w:before="120" w:after="120" w:line="276" w:lineRule="auto"/>
        <w:ind w:left="714" w:hanging="357"/>
        <w:contextualSpacing w:val="0"/>
        <w:jc w:val="both"/>
        <w:rPr>
          <w:rFonts w:ascii="Arial" w:hAnsi="Arial" w:cs="Arial"/>
        </w:rPr>
      </w:pPr>
      <w:r w:rsidRPr="00BC5AC3">
        <w:rPr>
          <w:rFonts w:ascii="Arial" w:hAnsi="Arial" w:cs="Arial"/>
        </w:rPr>
        <w:t xml:space="preserve">Six electorates moving from Band 2 to Band 3 (Bonney, Burnett, Currumbin, Maroochydore, Rockhampton and Surfers Paradise); and </w:t>
      </w:r>
    </w:p>
    <w:p w14:paraId="38BD5DE1" w14:textId="77777777" w:rsidR="00BC5AC3" w:rsidRPr="00BC5AC3" w:rsidRDefault="00BC5AC3" w:rsidP="00AA6D10">
      <w:pPr>
        <w:pStyle w:val="ListParagraph"/>
        <w:numPr>
          <w:ilvl w:val="0"/>
          <w:numId w:val="34"/>
        </w:numPr>
        <w:spacing w:after="200" w:line="276" w:lineRule="auto"/>
        <w:jc w:val="both"/>
        <w:rPr>
          <w:rFonts w:ascii="Arial" w:hAnsi="Arial" w:cs="Arial"/>
        </w:rPr>
      </w:pPr>
      <w:r w:rsidRPr="00BC5AC3">
        <w:rPr>
          <w:rFonts w:ascii="Arial" w:hAnsi="Arial" w:cs="Arial"/>
        </w:rPr>
        <w:t xml:space="preserve">Six electorates moving from Band 3 to Band 4 (Barron River, Condamine, Logan, Pine Rivers, Redlands and Scenic Rim). </w:t>
      </w:r>
    </w:p>
    <w:p w14:paraId="06FEBCE7" w14:textId="29BEDD24" w:rsidR="00976B63" w:rsidRDefault="00675444" w:rsidP="00AA6D10">
      <w:pPr>
        <w:spacing w:before="200" w:after="200" w:line="276" w:lineRule="auto"/>
        <w:jc w:val="both"/>
        <w:rPr>
          <w:rFonts w:ascii="Arial" w:hAnsi="Arial" w:cs="Arial"/>
        </w:rPr>
      </w:pPr>
      <w:r>
        <w:rPr>
          <w:rFonts w:ascii="Arial" w:eastAsia="Calibri" w:hAnsi="Arial" w:cs="Arial"/>
        </w:rPr>
        <w:t>The Tribunal decided that</w:t>
      </w:r>
      <w:r w:rsidR="00D953E4" w:rsidRPr="00BC5AC3">
        <w:rPr>
          <w:rFonts w:ascii="Arial" w:hAnsi="Arial" w:cs="Arial"/>
        </w:rPr>
        <w:t xml:space="preserve">, with effect from </w:t>
      </w:r>
      <w:r w:rsidR="00F412FC" w:rsidRPr="00BC5AC3">
        <w:rPr>
          <w:rFonts w:ascii="Arial" w:hAnsi="Arial" w:cs="Arial"/>
        </w:rPr>
        <w:t>1</w:t>
      </w:r>
      <w:r w:rsidR="00D953E4" w:rsidRPr="00BC5AC3">
        <w:rPr>
          <w:rFonts w:ascii="Arial" w:hAnsi="Arial" w:cs="Arial"/>
        </w:rPr>
        <w:t xml:space="preserve"> </w:t>
      </w:r>
      <w:r w:rsidR="006F1427" w:rsidRPr="00BC5AC3">
        <w:rPr>
          <w:rFonts w:ascii="Arial" w:hAnsi="Arial" w:cs="Arial"/>
        </w:rPr>
        <w:t>July 20</w:t>
      </w:r>
      <w:r w:rsidR="00D953E4" w:rsidRPr="00BC5AC3">
        <w:rPr>
          <w:rFonts w:ascii="Arial" w:hAnsi="Arial" w:cs="Arial"/>
        </w:rPr>
        <w:t>21</w:t>
      </w:r>
      <w:r w:rsidR="00FC7A78">
        <w:rPr>
          <w:rFonts w:ascii="Arial" w:hAnsi="Arial" w:cs="Arial"/>
        </w:rPr>
        <w:t xml:space="preserve">, </w:t>
      </w:r>
      <w:r w:rsidR="00D953E4" w:rsidRPr="00BC5AC3">
        <w:rPr>
          <w:rFonts w:ascii="Arial" w:hAnsi="Arial" w:cs="Arial"/>
        </w:rPr>
        <w:t>the ECA bands will be set as follows:</w:t>
      </w:r>
    </w:p>
    <w:p w14:paraId="0177F0A3" w14:textId="6BBA033F" w:rsidR="00C84296" w:rsidRPr="00D972B2" w:rsidRDefault="00C84296" w:rsidP="00D972B2">
      <w:pPr>
        <w:spacing w:before="200" w:after="200" w:line="276" w:lineRule="auto"/>
        <w:jc w:val="both"/>
        <w:rPr>
          <w:rFonts w:ascii="Arial" w:hAnsi="Arial" w:cs="Arial"/>
          <w:u w:val="single"/>
        </w:rPr>
      </w:pPr>
      <w:r w:rsidRPr="00D972B2">
        <w:rPr>
          <w:rFonts w:ascii="Arial" w:eastAsia="Calibri" w:hAnsi="Arial" w:cs="Arial"/>
          <w:u w:val="single"/>
        </w:rPr>
        <w:t>Table 2: Allocation of Electorates to ECA Bands</w:t>
      </w:r>
    </w:p>
    <w:tbl>
      <w:tblPr>
        <w:tblW w:w="9639" w:type="dxa"/>
        <w:tblInd w:w="-5" w:type="dxa"/>
        <w:tblLook w:val="04A0" w:firstRow="1" w:lastRow="0" w:firstColumn="1" w:lastColumn="0" w:noHBand="0" w:noVBand="1"/>
      </w:tblPr>
      <w:tblGrid>
        <w:gridCol w:w="817"/>
        <w:gridCol w:w="1094"/>
        <w:gridCol w:w="7728"/>
      </w:tblGrid>
      <w:tr w:rsidR="00CC4474" w:rsidRPr="00FE399C" w14:paraId="7023683B" w14:textId="77777777" w:rsidTr="00E92191">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75A1923A" w14:textId="77777777" w:rsidR="00976B63" w:rsidRPr="00FE399C" w:rsidRDefault="00976B63" w:rsidP="00C965DA">
            <w:pPr>
              <w:keepNext/>
              <w:keepLines/>
              <w:rPr>
                <w:rFonts w:ascii="Arial" w:eastAsia="Times New Roman" w:hAnsi="Arial" w:cs="Arial"/>
                <w:b/>
                <w:bCs/>
                <w:color w:val="000000"/>
              </w:rPr>
            </w:pPr>
            <w:r w:rsidRPr="00FE399C">
              <w:rPr>
                <w:rFonts w:ascii="Arial" w:eastAsia="Times New Roman" w:hAnsi="Arial" w:cs="Arial"/>
                <w:b/>
                <w:bCs/>
                <w:color w:val="000000"/>
              </w:rPr>
              <w:t xml:space="preserve">Band </w:t>
            </w:r>
          </w:p>
        </w:tc>
        <w:tc>
          <w:tcPr>
            <w:tcW w:w="109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273B0A2" w14:textId="77777777" w:rsidR="00976B63" w:rsidRPr="00FE399C" w:rsidRDefault="00976B63" w:rsidP="00C965DA">
            <w:pPr>
              <w:keepNext/>
              <w:keepLines/>
              <w:rPr>
                <w:rFonts w:ascii="Arial" w:eastAsia="Times New Roman" w:hAnsi="Arial" w:cs="Arial"/>
                <w:b/>
                <w:bCs/>
                <w:color w:val="000000"/>
              </w:rPr>
            </w:pPr>
            <w:r w:rsidRPr="00FE399C">
              <w:rPr>
                <w:rFonts w:ascii="Arial" w:eastAsia="Times New Roman" w:hAnsi="Arial" w:cs="Arial"/>
                <w:b/>
                <w:bCs/>
                <w:color w:val="000000"/>
              </w:rPr>
              <w:t>Amount</w:t>
            </w:r>
          </w:p>
        </w:tc>
        <w:tc>
          <w:tcPr>
            <w:tcW w:w="772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4C108B" w14:textId="77777777" w:rsidR="00976B63" w:rsidRPr="00FE399C" w:rsidRDefault="00976B63" w:rsidP="00C965DA">
            <w:pPr>
              <w:keepNext/>
              <w:keepLines/>
              <w:rPr>
                <w:rFonts w:ascii="Arial" w:eastAsia="Times New Roman" w:hAnsi="Arial" w:cs="Arial"/>
                <w:b/>
                <w:bCs/>
                <w:color w:val="000000"/>
              </w:rPr>
            </w:pPr>
            <w:r w:rsidRPr="00FE399C">
              <w:rPr>
                <w:rFonts w:ascii="Arial" w:eastAsia="Times New Roman" w:hAnsi="Arial" w:cs="Arial"/>
                <w:b/>
                <w:bCs/>
                <w:color w:val="000000"/>
              </w:rPr>
              <w:t xml:space="preserve">Electorates in each Band </w:t>
            </w:r>
          </w:p>
        </w:tc>
      </w:tr>
      <w:tr w:rsidR="00D034C5" w14:paraId="45D14918" w14:textId="77777777" w:rsidTr="00FE399C">
        <w:trPr>
          <w:cantSplit/>
          <w:trHeight w:val="376"/>
        </w:trPr>
        <w:tc>
          <w:tcPr>
            <w:tcW w:w="8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9628111"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2FE36B9"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$89,200</w:t>
            </w:r>
          </w:p>
        </w:tc>
        <w:tc>
          <w:tcPr>
            <w:tcW w:w="7728" w:type="dxa"/>
            <w:tcBorders>
              <w:top w:val="single" w:sz="4" w:space="0" w:color="auto"/>
              <w:left w:val="single" w:sz="4" w:space="0" w:color="auto"/>
              <w:bottom w:val="single" w:sz="4" w:space="0" w:color="auto"/>
              <w:right w:val="single" w:sz="4" w:space="0" w:color="auto"/>
            </w:tcBorders>
            <w:hideMark/>
          </w:tcPr>
          <w:p w14:paraId="1D865756" w14:textId="77777777" w:rsidR="00976B63" w:rsidRPr="00FE399C" w:rsidRDefault="00976B63" w:rsidP="00E92191">
            <w:pPr>
              <w:keepNext/>
              <w:keepLines/>
              <w:jc w:val="both"/>
              <w:rPr>
                <w:rFonts w:ascii="Arial" w:eastAsia="Times New Roman" w:hAnsi="Arial" w:cs="Arial"/>
                <w:color w:val="000000"/>
                <w:sz w:val="20"/>
                <w:szCs w:val="20"/>
              </w:rPr>
            </w:pPr>
            <w:r w:rsidRPr="00FE399C">
              <w:rPr>
                <w:rFonts w:ascii="Arial" w:eastAsia="Times New Roman" w:hAnsi="Arial" w:cs="Arial"/>
                <w:color w:val="000000"/>
                <w:sz w:val="20"/>
                <w:szCs w:val="20"/>
              </w:rPr>
              <w:t>Gaven, Gladstone, Ipswich, Mundingburra, Oodgeroo, Stretton, Toohey, Waterford</w:t>
            </w:r>
          </w:p>
        </w:tc>
      </w:tr>
      <w:tr w:rsidR="00D034C5" w14:paraId="3225690B" w14:textId="77777777" w:rsidTr="00FE399C">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8EE092B"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EE27C3B"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$90,900</w:t>
            </w:r>
          </w:p>
        </w:tc>
        <w:tc>
          <w:tcPr>
            <w:tcW w:w="7728" w:type="dxa"/>
            <w:tcBorders>
              <w:top w:val="single" w:sz="4" w:space="0" w:color="auto"/>
              <w:left w:val="single" w:sz="4" w:space="0" w:color="auto"/>
              <w:bottom w:val="single" w:sz="4" w:space="0" w:color="auto"/>
              <w:right w:val="single" w:sz="4" w:space="0" w:color="auto"/>
            </w:tcBorders>
            <w:hideMark/>
          </w:tcPr>
          <w:p w14:paraId="41C4B375" w14:textId="64B5566D" w:rsidR="00976B63" w:rsidRPr="00FE399C" w:rsidRDefault="00976B63" w:rsidP="00E92191">
            <w:pPr>
              <w:keepNext/>
              <w:keepLines/>
              <w:jc w:val="both"/>
              <w:rPr>
                <w:rFonts w:ascii="Arial" w:eastAsia="Times New Roman" w:hAnsi="Arial" w:cs="Arial"/>
                <w:color w:val="000000"/>
                <w:sz w:val="20"/>
                <w:szCs w:val="20"/>
              </w:rPr>
            </w:pPr>
            <w:r w:rsidRPr="00FE399C">
              <w:rPr>
                <w:rFonts w:ascii="Arial" w:eastAsia="Times New Roman" w:hAnsi="Arial" w:cs="Arial"/>
                <w:color w:val="000000"/>
                <w:sz w:val="20"/>
                <w:szCs w:val="20"/>
              </w:rPr>
              <w:t>Algester, Broadwater, Bundaberg, Burleigh, Capalaba, Chatsworth, Ferny Grove, Glass House, Hinchinbrook, Inala, Ipswich West, Lockyer, Mansfield, Mermaid Beach, Miller, Mirani, Moggill, Mount Ommaney, Mulgrave, Nicklin</w:t>
            </w:r>
            <w:r w:rsidR="0067317C" w:rsidRPr="00FE399C">
              <w:rPr>
                <w:rFonts w:ascii="Arial" w:eastAsia="Times New Roman" w:hAnsi="Arial" w:cs="Arial"/>
                <w:color w:val="000000"/>
                <w:sz w:val="20"/>
                <w:szCs w:val="20"/>
              </w:rPr>
              <w:t>,</w:t>
            </w:r>
            <w:r w:rsidR="00DD6A7F" w:rsidRPr="00FE399C">
              <w:rPr>
                <w:rFonts w:ascii="Arial" w:eastAsia="Times New Roman" w:hAnsi="Arial" w:cs="Arial"/>
                <w:color w:val="000000"/>
                <w:sz w:val="20"/>
                <w:szCs w:val="20"/>
              </w:rPr>
              <w:t xml:space="preserve"> </w:t>
            </w:r>
            <w:r w:rsidRPr="00FE399C">
              <w:rPr>
                <w:rFonts w:ascii="Arial" w:eastAsia="Times New Roman" w:hAnsi="Arial" w:cs="Arial"/>
                <w:color w:val="000000"/>
                <w:sz w:val="20"/>
                <w:szCs w:val="20"/>
              </w:rPr>
              <w:t xml:space="preserve">Southport, Springwood, Theodore, Thuringowa, Townsville, Whitsunday </w:t>
            </w:r>
          </w:p>
        </w:tc>
      </w:tr>
      <w:tr w:rsidR="00D034C5" w14:paraId="1ABE5A11" w14:textId="77777777" w:rsidTr="00FE399C">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03BA728"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B889367"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$93,400</w:t>
            </w:r>
          </w:p>
        </w:tc>
        <w:tc>
          <w:tcPr>
            <w:tcW w:w="7728" w:type="dxa"/>
            <w:tcBorders>
              <w:top w:val="single" w:sz="4" w:space="0" w:color="auto"/>
              <w:left w:val="single" w:sz="4" w:space="0" w:color="auto"/>
              <w:bottom w:val="single" w:sz="4" w:space="0" w:color="auto"/>
              <w:right w:val="single" w:sz="4" w:space="0" w:color="auto"/>
            </w:tcBorders>
            <w:hideMark/>
          </w:tcPr>
          <w:p w14:paraId="718BC981" w14:textId="643BF433" w:rsidR="00976B63" w:rsidRPr="00FE399C" w:rsidRDefault="003726B7" w:rsidP="00E92191">
            <w:pPr>
              <w:keepNext/>
              <w:keepLines/>
              <w:jc w:val="both"/>
              <w:rPr>
                <w:rFonts w:ascii="Arial" w:eastAsia="Times New Roman" w:hAnsi="Arial" w:cs="Arial"/>
                <w:color w:val="000000"/>
                <w:sz w:val="20"/>
                <w:szCs w:val="20"/>
              </w:rPr>
            </w:pPr>
            <w:r w:rsidRPr="00FE399C">
              <w:rPr>
                <w:rFonts w:ascii="Arial" w:eastAsia="Times New Roman" w:hAnsi="Arial" w:cs="Arial"/>
                <w:color w:val="000000"/>
                <w:sz w:val="20"/>
                <w:szCs w:val="20"/>
              </w:rPr>
              <w:t>Aspley, Bancroft, Bonney, Buderim, Burdekin, Burnett, Cairns, Callide, Cooper, Currumbin, Everton, Greenslopes, Kawana, Keppel, Kurwongbah, Lytton, Macalister, Maroochydore, Morayfield, Nanango, Noosa, Nudgee, Rockhampton, Sandgate, Southern Downs, Surfers Paradise, Toowoomba North, Toowoomba South, Woodridge</w:t>
            </w:r>
          </w:p>
        </w:tc>
      </w:tr>
      <w:tr w:rsidR="00D034C5" w14:paraId="71E4FDC7" w14:textId="77777777" w:rsidTr="00FE399C">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3920FED"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4</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579B117" w14:textId="77777777" w:rsidR="00976B63" w:rsidRPr="00FE399C" w:rsidRDefault="00976B63" w:rsidP="00C965DA">
            <w:pPr>
              <w:keepNext/>
              <w:keepLines/>
              <w:jc w:val="center"/>
              <w:rPr>
                <w:rFonts w:ascii="Arial" w:eastAsia="Times New Roman" w:hAnsi="Arial" w:cs="Arial"/>
                <w:color w:val="000000"/>
                <w:sz w:val="20"/>
                <w:szCs w:val="20"/>
              </w:rPr>
            </w:pPr>
            <w:r w:rsidRPr="00FE399C">
              <w:rPr>
                <w:rFonts w:ascii="Arial" w:eastAsia="Times New Roman" w:hAnsi="Arial" w:cs="Arial"/>
                <w:color w:val="000000"/>
                <w:sz w:val="20"/>
                <w:szCs w:val="20"/>
              </w:rPr>
              <w:t>$95,200</w:t>
            </w:r>
          </w:p>
        </w:tc>
        <w:tc>
          <w:tcPr>
            <w:tcW w:w="7728" w:type="dxa"/>
            <w:tcBorders>
              <w:top w:val="single" w:sz="4" w:space="0" w:color="auto"/>
              <w:left w:val="single" w:sz="4" w:space="0" w:color="auto"/>
              <w:bottom w:val="single" w:sz="4" w:space="0" w:color="auto"/>
              <w:right w:val="single" w:sz="4" w:space="0" w:color="auto"/>
            </w:tcBorders>
            <w:hideMark/>
          </w:tcPr>
          <w:p w14:paraId="088BAFD4" w14:textId="08718A7B" w:rsidR="00976B63" w:rsidRPr="00FE399C" w:rsidRDefault="00DB5AE0" w:rsidP="00E92191">
            <w:pPr>
              <w:keepNext/>
              <w:keepLines/>
              <w:jc w:val="both"/>
              <w:rPr>
                <w:rFonts w:ascii="Arial" w:eastAsia="Times New Roman" w:hAnsi="Arial" w:cs="Arial"/>
                <w:color w:val="000000"/>
                <w:sz w:val="20"/>
                <w:szCs w:val="20"/>
              </w:rPr>
            </w:pPr>
            <w:r w:rsidRPr="00FE399C">
              <w:rPr>
                <w:rFonts w:ascii="Arial" w:eastAsia="Times New Roman" w:hAnsi="Arial" w:cs="Arial"/>
                <w:color w:val="000000"/>
                <w:sz w:val="20"/>
                <w:szCs w:val="20"/>
              </w:rPr>
              <w:t>Barron River, Bulimba, Bundamba, Caloundra, Clayfield, Condamine, Cook, Coomera, Gregory, Gympie, Hervey Bay, Hill, Jordan, Logan, Mackay, Maiwar, Maryborough, McConnel, Mudgeeraba, Murrumba, Ninderry, Pine Rivers, Pumicestone, Redcliffe, Redlands, Scenic Rim, South Brisbane, Stafford, Traeger, Warrego</w:t>
            </w:r>
          </w:p>
        </w:tc>
      </w:tr>
    </w:tbl>
    <w:p w14:paraId="73041DA3" w14:textId="6A13980B" w:rsidR="68C2E32A" w:rsidRDefault="68C2E32A" w:rsidP="136127B6">
      <w:pPr>
        <w:spacing w:before="200" w:after="200" w:line="276" w:lineRule="auto"/>
        <w:jc w:val="both"/>
        <w:rPr>
          <w:rFonts w:ascii="Arial" w:hAnsi="Arial" w:cs="Arial"/>
        </w:rPr>
      </w:pPr>
      <w:r w:rsidRPr="136127B6">
        <w:rPr>
          <w:rFonts w:ascii="Arial" w:hAnsi="Arial" w:cs="Arial"/>
        </w:rPr>
        <w:t xml:space="preserve">In addition, the Tribunal agreed that electoral roll data will </w:t>
      </w:r>
      <w:proofErr w:type="gramStart"/>
      <w:r w:rsidRPr="136127B6">
        <w:rPr>
          <w:rFonts w:ascii="Arial" w:hAnsi="Arial" w:cs="Arial"/>
        </w:rPr>
        <w:t>be reviewed</w:t>
      </w:r>
      <w:proofErr w:type="gramEnd"/>
      <w:r w:rsidRPr="136127B6">
        <w:rPr>
          <w:rFonts w:ascii="Arial" w:hAnsi="Arial" w:cs="Arial"/>
        </w:rPr>
        <w:t xml:space="preserve"> annually</w:t>
      </w:r>
      <w:r w:rsidRPr="35E9F6DB">
        <w:rPr>
          <w:rFonts w:ascii="Arial" w:hAnsi="Arial" w:cs="Arial"/>
        </w:rPr>
        <w:t xml:space="preserve"> and if </w:t>
      </w:r>
      <w:r w:rsidR="36B3D535" w:rsidRPr="35E9F6DB">
        <w:rPr>
          <w:rFonts w:ascii="Arial" w:hAnsi="Arial" w:cs="Arial"/>
        </w:rPr>
        <w:t xml:space="preserve">the bands are to be </w:t>
      </w:r>
      <w:r w:rsidR="36B3D535" w:rsidRPr="6F2C8A8D">
        <w:rPr>
          <w:rFonts w:ascii="Arial" w:hAnsi="Arial" w:cs="Arial"/>
        </w:rPr>
        <w:t>revised</w:t>
      </w:r>
      <w:r w:rsidR="69A91E76" w:rsidRPr="61F3A50D">
        <w:rPr>
          <w:rFonts w:ascii="Arial" w:hAnsi="Arial" w:cs="Arial"/>
        </w:rPr>
        <w:t>,</w:t>
      </w:r>
      <w:r w:rsidR="36B3D535" w:rsidRPr="35E9F6DB">
        <w:rPr>
          <w:rFonts w:ascii="Arial" w:hAnsi="Arial" w:cs="Arial"/>
        </w:rPr>
        <w:t xml:space="preserve"> they will be </w:t>
      </w:r>
      <w:r w:rsidR="36B3D535" w:rsidRPr="6F2C8A8D">
        <w:rPr>
          <w:rFonts w:ascii="Arial" w:hAnsi="Arial" w:cs="Arial"/>
        </w:rPr>
        <w:t>revised</w:t>
      </w:r>
      <w:r w:rsidR="36B3D535" w:rsidRPr="35E9F6DB">
        <w:rPr>
          <w:rFonts w:ascii="Arial" w:hAnsi="Arial" w:cs="Arial"/>
        </w:rPr>
        <w:t xml:space="preserve"> from 1 July each </w:t>
      </w:r>
      <w:r w:rsidR="36B3D535" w:rsidRPr="6F2C8A8D">
        <w:rPr>
          <w:rFonts w:ascii="Arial" w:hAnsi="Arial" w:cs="Arial"/>
        </w:rPr>
        <w:t>financial year</w:t>
      </w:r>
      <w:r w:rsidRPr="136127B6">
        <w:rPr>
          <w:rFonts w:ascii="Arial" w:hAnsi="Arial" w:cs="Arial"/>
        </w:rPr>
        <w:t>.</w:t>
      </w:r>
    </w:p>
    <w:p w14:paraId="5E992431" w14:textId="2122891E" w:rsidR="00D953E4" w:rsidRDefault="00D953E4" w:rsidP="00AA6D10">
      <w:pPr>
        <w:pStyle w:val="Subtitle"/>
        <w:keepNext/>
        <w:keepLines/>
        <w:spacing w:before="200" w:after="200" w:line="257" w:lineRule="auto"/>
        <w:rPr>
          <w:rFonts w:ascii="Arial" w:hAnsi="Arial" w:cs="Arial"/>
          <w:sz w:val="22"/>
          <w:szCs w:val="22"/>
        </w:rPr>
      </w:pPr>
      <w:r>
        <w:rPr>
          <w:rFonts w:ascii="Arial" w:hAnsi="Arial" w:cs="Arial"/>
          <w:sz w:val="22"/>
          <w:szCs w:val="22"/>
        </w:rPr>
        <w:t>Quantum of ECA bands</w:t>
      </w:r>
    </w:p>
    <w:p w14:paraId="6F0C4D08" w14:textId="3478E8E4" w:rsidR="004552C5" w:rsidRPr="00946396" w:rsidRDefault="00CA2B06" w:rsidP="00793001">
      <w:pPr>
        <w:spacing w:before="200" w:after="200" w:line="276" w:lineRule="auto"/>
        <w:jc w:val="both"/>
        <w:rPr>
          <w:rFonts w:ascii="Arial" w:eastAsia="Calibri" w:hAnsi="Arial" w:cs="Arial"/>
        </w:rPr>
      </w:pPr>
      <w:r w:rsidRPr="00D972B2">
        <w:rPr>
          <w:rFonts w:ascii="Arial" w:eastAsia="Calibri" w:hAnsi="Arial" w:cs="Arial"/>
        </w:rPr>
        <w:t xml:space="preserve">The Tribunal considered the quantum of the ECA bands as part of its annual allowances review. </w:t>
      </w:r>
      <w:r w:rsidR="00C435A1" w:rsidRPr="00D972B2">
        <w:rPr>
          <w:rFonts w:ascii="Arial" w:eastAsia="Calibri" w:hAnsi="Arial" w:cs="Arial"/>
        </w:rPr>
        <w:t>When considering the quantum, t</w:t>
      </w:r>
      <w:r w:rsidR="00D953E4" w:rsidRPr="00D972B2">
        <w:rPr>
          <w:rFonts w:ascii="Arial" w:eastAsia="Calibri" w:hAnsi="Arial" w:cs="Arial"/>
        </w:rPr>
        <w:t xml:space="preserve">he Tribunal </w:t>
      </w:r>
      <w:r w:rsidR="005E3674" w:rsidRPr="00D972B2">
        <w:rPr>
          <w:rFonts w:ascii="Arial" w:eastAsia="Calibri" w:hAnsi="Arial" w:cs="Arial"/>
        </w:rPr>
        <w:t xml:space="preserve">takes an evidence-based approach to assessing the quantum of each band of the ECA and </w:t>
      </w:r>
      <w:r w:rsidR="0070369A" w:rsidRPr="00D972B2">
        <w:rPr>
          <w:rFonts w:ascii="Arial" w:eastAsia="Calibri" w:hAnsi="Arial" w:cs="Arial"/>
        </w:rPr>
        <w:t xml:space="preserve">reviews ECA expenditure data </w:t>
      </w:r>
      <w:r w:rsidR="005E3674" w:rsidRPr="00D972B2">
        <w:rPr>
          <w:rFonts w:ascii="Arial" w:eastAsia="Calibri" w:hAnsi="Arial" w:cs="Arial"/>
        </w:rPr>
        <w:t xml:space="preserve">and other factors impacting on </w:t>
      </w:r>
      <w:r w:rsidR="000E13A7" w:rsidRPr="00D972B2">
        <w:rPr>
          <w:rFonts w:ascii="Arial" w:eastAsia="Calibri" w:hAnsi="Arial" w:cs="Arial"/>
        </w:rPr>
        <w:t>the allowance expenditure</w:t>
      </w:r>
      <w:r w:rsidR="00C03086" w:rsidRPr="00D972B2">
        <w:rPr>
          <w:rFonts w:ascii="Arial" w:eastAsia="Calibri" w:hAnsi="Arial" w:cs="Arial"/>
        </w:rPr>
        <w:t xml:space="preserve">. </w:t>
      </w:r>
    </w:p>
    <w:p w14:paraId="44C8080F" w14:textId="3158E372" w:rsidR="002D3E6A" w:rsidRDefault="00FF7C53" w:rsidP="00126CF2">
      <w:pPr>
        <w:spacing w:before="200" w:after="200" w:line="276" w:lineRule="auto"/>
        <w:jc w:val="both"/>
        <w:rPr>
          <w:rFonts w:ascii="Arial" w:eastAsia="Calibri" w:hAnsi="Arial" w:cs="Arial"/>
        </w:rPr>
      </w:pPr>
      <w:r>
        <w:rPr>
          <w:rFonts w:ascii="Arial" w:eastAsia="Calibri" w:hAnsi="Arial" w:cs="Arial"/>
        </w:rPr>
        <w:t>T</w:t>
      </w:r>
      <w:r w:rsidR="002D3E6A">
        <w:rPr>
          <w:rFonts w:ascii="Arial" w:eastAsia="Calibri" w:hAnsi="Arial" w:cs="Arial"/>
        </w:rPr>
        <w:t xml:space="preserve">he breakdown of the </w:t>
      </w:r>
      <w:r w:rsidR="005A580B">
        <w:rPr>
          <w:rFonts w:ascii="Arial" w:eastAsia="Calibri" w:hAnsi="Arial" w:cs="Arial"/>
        </w:rPr>
        <w:t>2020</w:t>
      </w:r>
      <w:r w:rsidR="752AE9A9" w:rsidRPr="5930F867">
        <w:rPr>
          <w:rFonts w:ascii="Arial" w:eastAsia="Calibri" w:hAnsi="Arial" w:cs="Arial"/>
        </w:rPr>
        <w:t xml:space="preserve"> </w:t>
      </w:r>
      <w:r w:rsidR="005A580B" w:rsidRPr="5930F867">
        <w:rPr>
          <w:rFonts w:ascii="Arial" w:eastAsia="Calibri" w:hAnsi="Arial" w:cs="Arial"/>
        </w:rPr>
        <w:t>-</w:t>
      </w:r>
      <w:r w:rsidR="190766E4" w:rsidRPr="5930F867">
        <w:rPr>
          <w:rFonts w:ascii="Arial" w:eastAsia="Calibri" w:hAnsi="Arial" w:cs="Arial"/>
        </w:rPr>
        <w:t xml:space="preserve"> </w:t>
      </w:r>
      <w:r w:rsidR="005A580B">
        <w:rPr>
          <w:rFonts w:ascii="Arial" w:eastAsia="Calibri" w:hAnsi="Arial" w:cs="Arial"/>
        </w:rPr>
        <w:t xml:space="preserve">21 ECA expenditure data across the </w:t>
      </w:r>
      <w:r w:rsidR="002D3E6A">
        <w:rPr>
          <w:rFonts w:ascii="Arial" w:eastAsia="Calibri" w:hAnsi="Arial" w:cs="Arial"/>
        </w:rPr>
        <w:t xml:space="preserve">seven categories </w:t>
      </w:r>
      <w:r w:rsidR="005A580B">
        <w:rPr>
          <w:rFonts w:ascii="Arial" w:eastAsia="Calibri" w:hAnsi="Arial" w:cs="Arial"/>
        </w:rPr>
        <w:t>indicates more</w:t>
      </w:r>
      <w:r w:rsidR="002D3E6A">
        <w:rPr>
          <w:rFonts w:ascii="Arial" w:eastAsia="Calibri" w:hAnsi="Arial" w:cs="Arial"/>
        </w:rPr>
        <w:t xml:space="preserve"> than 50% of expenditure was on ‘production, publication and distribution costs’; followed</w:t>
      </w:r>
      <w:r w:rsidR="005A580B">
        <w:rPr>
          <w:rFonts w:ascii="Arial" w:eastAsia="Calibri" w:hAnsi="Arial" w:cs="Arial"/>
        </w:rPr>
        <w:t xml:space="preserve"> by,</w:t>
      </w:r>
      <w:r w:rsidR="002D3E6A">
        <w:rPr>
          <w:rFonts w:ascii="Arial" w:eastAsia="Calibri" w:hAnsi="Arial" w:cs="Arial"/>
        </w:rPr>
        <w:t xml:space="preserve"> in order of </w:t>
      </w:r>
      <w:r w:rsidR="12989CD8" w:rsidRPr="5F978ECB">
        <w:rPr>
          <w:rFonts w:ascii="Arial" w:eastAsia="Calibri" w:hAnsi="Arial" w:cs="Arial"/>
        </w:rPr>
        <w:t xml:space="preserve">level of </w:t>
      </w:r>
      <w:r w:rsidR="002D3E6A">
        <w:rPr>
          <w:rFonts w:ascii="Arial" w:eastAsia="Calibri" w:hAnsi="Arial" w:cs="Arial"/>
        </w:rPr>
        <w:t xml:space="preserve">expenditure: ‘support for constituents and organisations’ (25%); ‘office expenses’ (16%); ‘minor equipment’ (4.3%); ‘hosting costs’ (2.4%); ‘telecommunications and data costs’ (1.4%); and ‘other’ (0.1%). </w:t>
      </w:r>
    </w:p>
    <w:p w14:paraId="254045F3" w14:textId="2099DA2C" w:rsidR="001F03EE" w:rsidRPr="00E92191" w:rsidRDefault="001F03EE" w:rsidP="00E92191">
      <w:pPr>
        <w:spacing w:before="200" w:after="200" w:line="276" w:lineRule="auto"/>
        <w:jc w:val="both"/>
        <w:rPr>
          <w:rFonts w:ascii="Arial" w:eastAsia="Calibri" w:hAnsi="Arial" w:cs="Arial"/>
        </w:rPr>
      </w:pPr>
      <w:r w:rsidRPr="00E92191">
        <w:rPr>
          <w:rFonts w:ascii="Arial" w:eastAsia="Calibri" w:hAnsi="Arial" w:cs="Arial"/>
        </w:rPr>
        <w:t>Compared with 2018-19 data (i.e. pre COVID19 restrictions) there has been a reduction in the expenditure in the categories of ‘</w:t>
      </w:r>
      <w:r w:rsidR="00B95ADA" w:rsidRPr="00E92191">
        <w:rPr>
          <w:rFonts w:ascii="Arial" w:eastAsia="Calibri" w:hAnsi="Arial" w:cs="Arial"/>
        </w:rPr>
        <w:t>h</w:t>
      </w:r>
      <w:r w:rsidRPr="00E92191">
        <w:rPr>
          <w:rFonts w:ascii="Arial" w:eastAsia="Calibri" w:hAnsi="Arial" w:cs="Arial"/>
        </w:rPr>
        <w:t>osting’ and ‘</w:t>
      </w:r>
      <w:r w:rsidR="00B95ADA" w:rsidRPr="00E92191">
        <w:rPr>
          <w:rFonts w:ascii="Arial" w:eastAsia="Calibri" w:hAnsi="Arial" w:cs="Arial"/>
        </w:rPr>
        <w:t>s</w:t>
      </w:r>
      <w:r w:rsidRPr="00E92191">
        <w:rPr>
          <w:rFonts w:ascii="Arial" w:eastAsia="Calibri" w:hAnsi="Arial" w:cs="Arial"/>
        </w:rPr>
        <w:t xml:space="preserve">upport for constituents and </w:t>
      </w:r>
      <w:proofErr w:type="gramStart"/>
      <w:r w:rsidRPr="00E92191">
        <w:rPr>
          <w:rFonts w:ascii="Arial" w:eastAsia="Calibri" w:hAnsi="Arial" w:cs="Arial"/>
        </w:rPr>
        <w:t>organisations’</w:t>
      </w:r>
      <w:proofErr w:type="gramEnd"/>
      <w:r w:rsidRPr="00E92191">
        <w:rPr>
          <w:rFonts w:ascii="Arial" w:eastAsia="Calibri" w:hAnsi="Arial" w:cs="Arial"/>
        </w:rPr>
        <w:t xml:space="preserve"> and an increase in expenditure in the category of ‘production, publication and distribution services’. </w:t>
      </w:r>
    </w:p>
    <w:p w14:paraId="038D7FA7" w14:textId="6CDD3D3C" w:rsidR="001F47A0" w:rsidRPr="00126CF2" w:rsidRDefault="00803C63" w:rsidP="00126CF2">
      <w:pPr>
        <w:spacing w:before="200" w:after="200" w:line="276" w:lineRule="auto"/>
        <w:jc w:val="both"/>
        <w:rPr>
          <w:rFonts w:ascii="Arial" w:eastAsia="Calibri" w:hAnsi="Arial" w:cs="Arial"/>
        </w:rPr>
      </w:pPr>
      <w:r w:rsidRPr="00E92191">
        <w:rPr>
          <w:rFonts w:ascii="Arial" w:eastAsia="Calibri" w:hAnsi="Arial" w:cs="Arial"/>
        </w:rPr>
        <w:lastRenderedPageBreak/>
        <w:t>The Tribunal noted i</w:t>
      </w:r>
      <w:r w:rsidR="001F47A0" w:rsidRPr="00E92191">
        <w:rPr>
          <w:rFonts w:ascii="Arial" w:eastAsia="Calibri" w:hAnsi="Arial" w:cs="Arial"/>
        </w:rPr>
        <w:t xml:space="preserve">t is </w:t>
      </w:r>
      <w:proofErr w:type="gramStart"/>
      <w:r w:rsidR="001F47A0" w:rsidRPr="00E92191">
        <w:rPr>
          <w:rFonts w:ascii="Arial" w:eastAsia="Calibri" w:hAnsi="Arial" w:cs="Arial"/>
        </w:rPr>
        <w:t>likely ECA</w:t>
      </w:r>
      <w:proofErr w:type="gramEnd"/>
      <w:r w:rsidR="001F47A0" w:rsidRPr="00E92191">
        <w:rPr>
          <w:rFonts w:ascii="Arial" w:eastAsia="Calibri" w:hAnsi="Arial" w:cs="Arial"/>
        </w:rPr>
        <w:t xml:space="preserve"> expenditure patterns have been impacted by the COVID-19 </w:t>
      </w:r>
      <w:r w:rsidR="001F47A0" w:rsidRPr="00126CF2">
        <w:rPr>
          <w:rFonts w:ascii="Arial" w:eastAsia="Calibri" w:hAnsi="Arial" w:cs="Arial"/>
        </w:rPr>
        <w:t xml:space="preserve">pandemic. </w:t>
      </w:r>
      <w:r w:rsidR="001F47A0">
        <w:rPr>
          <w:rFonts w:ascii="Arial" w:eastAsia="Calibri" w:hAnsi="Arial" w:cs="Arial"/>
        </w:rPr>
        <w:t xml:space="preserve">In the 2020-21 financial year the State was subject to four separate periods of lockdown in </w:t>
      </w:r>
      <w:r w:rsidR="001F47A0" w:rsidRPr="00663595">
        <w:rPr>
          <w:rFonts w:ascii="Arial" w:eastAsia="Calibri" w:hAnsi="Arial" w:cs="Arial"/>
        </w:rPr>
        <w:t>January</w:t>
      </w:r>
      <w:r w:rsidR="001F47A0" w:rsidRPr="005B043D">
        <w:rPr>
          <w:vertAlign w:val="superscript"/>
        </w:rPr>
        <w:footnoteReference w:id="2"/>
      </w:r>
      <w:r w:rsidR="001F47A0" w:rsidRPr="00663595">
        <w:rPr>
          <w:rFonts w:ascii="Arial" w:eastAsia="Calibri" w:hAnsi="Arial" w:cs="Arial"/>
        </w:rPr>
        <w:t>, March</w:t>
      </w:r>
      <w:r w:rsidR="001F47A0" w:rsidRPr="005B043D">
        <w:rPr>
          <w:vertAlign w:val="superscript"/>
        </w:rPr>
        <w:footnoteReference w:id="3"/>
      </w:r>
      <w:r w:rsidR="001F47A0" w:rsidRPr="00663595">
        <w:rPr>
          <w:rFonts w:ascii="Arial" w:eastAsia="Calibri" w:hAnsi="Arial" w:cs="Arial"/>
        </w:rPr>
        <w:t xml:space="preserve"> and June</w:t>
      </w:r>
      <w:r w:rsidR="001F47A0" w:rsidRPr="005B043D">
        <w:rPr>
          <w:vertAlign w:val="superscript"/>
        </w:rPr>
        <w:footnoteReference w:id="4"/>
      </w:r>
      <w:r w:rsidR="005B043D">
        <w:rPr>
          <w:rFonts w:ascii="Arial" w:eastAsia="Calibri" w:hAnsi="Arial" w:cs="Arial"/>
        </w:rPr>
        <w:t xml:space="preserve">. </w:t>
      </w:r>
    </w:p>
    <w:p w14:paraId="0F89B90F" w14:textId="033CF2C5" w:rsidR="002D3E6A" w:rsidRDefault="002D3E6A" w:rsidP="00E92191">
      <w:pPr>
        <w:spacing w:before="200" w:after="120" w:line="276" w:lineRule="auto"/>
        <w:jc w:val="both"/>
        <w:rPr>
          <w:rFonts w:ascii="Arial" w:eastAsia="Calibri" w:hAnsi="Arial" w:cs="Arial"/>
        </w:rPr>
      </w:pPr>
      <w:r>
        <w:rPr>
          <w:rFonts w:ascii="Arial" w:eastAsia="Calibri" w:hAnsi="Arial" w:cs="Arial"/>
        </w:rPr>
        <w:t xml:space="preserve">Total </w:t>
      </w:r>
      <w:r w:rsidR="003E5EED">
        <w:rPr>
          <w:rFonts w:ascii="Arial" w:eastAsia="Calibri" w:hAnsi="Arial" w:cs="Arial"/>
        </w:rPr>
        <w:t xml:space="preserve">monetary amount </w:t>
      </w:r>
      <w:r w:rsidR="00574E98">
        <w:rPr>
          <w:rFonts w:ascii="Arial" w:eastAsia="Calibri" w:hAnsi="Arial" w:cs="Arial"/>
        </w:rPr>
        <w:t xml:space="preserve">of </w:t>
      </w:r>
      <w:r>
        <w:rPr>
          <w:rFonts w:ascii="Arial" w:eastAsia="Calibri" w:hAnsi="Arial" w:cs="Arial"/>
        </w:rPr>
        <w:t>ECA expenditure for the 2020-21 financial year has increased by $2,586,51</w:t>
      </w:r>
      <w:r w:rsidR="000003A8">
        <w:rPr>
          <w:rFonts w:ascii="Arial" w:eastAsia="Calibri" w:hAnsi="Arial" w:cs="Arial"/>
        </w:rPr>
        <w:t>5</w:t>
      </w:r>
      <w:r>
        <w:rPr>
          <w:rFonts w:ascii="Arial" w:eastAsia="Calibri" w:hAnsi="Arial" w:cs="Arial"/>
        </w:rPr>
        <w:t xml:space="preserve"> to $8,639,327, compared with $6,052,812 in 2019-20. Factors impacting on this include: </w:t>
      </w:r>
    </w:p>
    <w:p w14:paraId="318D2CDF" w14:textId="385F7C77" w:rsidR="002D3E6A" w:rsidRDefault="002D3E6A" w:rsidP="00E92191">
      <w:pPr>
        <w:pStyle w:val="ListParagraph"/>
        <w:numPr>
          <w:ilvl w:val="0"/>
          <w:numId w:val="57"/>
        </w:numPr>
        <w:spacing w:after="120" w:line="276" w:lineRule="auto"/>
        <w:ind w:left="714" w:hanging="357"/>
        <w:contextualSpacing w:val="0"/>
        <w:jc w:val="both"/>
        <w:rPr>
          <w:rFonts w:ascii="Arial" w:eastAsia="Calibri" w:hAnsi="Arial" w:cs="Arial"/>
        </w:rPr>
      </w:pPr>
      <w:r>
        <w:rPr>
          <w:rFonts w:ascii="Arial" w:eastAsia="Calibri" w:hAnsi="Arial" w:cs="Arial"/>
        </w:rPr>
        <w:t>the $17,000 increase in the ECA for all 93 members which took effect from 1 November 2020</w:t>
      </w:r>
      <w:r w:rsidR="00D3126D">
        <w:rPr>
          <w:rFonts w:ascii="Arial" w:eastAsia="Calibri" w:hAnsi="Arial" w:cs="Arial"/>
        </w:rPr>
        <w:t xml:space="preserve"> </w:t>
      </w:r>
      <w:r>
        <w:rPr>
          <w:rFonts w:ascii="Arial" w:eastAsia="Calibri" w:hAnsi="Arial" w:cs="Arial"/>
        </w:rPr>
        <w:t xml:space="preserve">(Determination 21/2020); </w:t>
      </w:r>
    </w:p>
    <w:p w14:paraId="0FFF383D" w14:textId="1832E35F" w:rsidR="002D3E6A" w:rsidRPr="004C78EF" w:rsidRDefault="002D3E6A" w:rsidP="00043FC3">
      <w:pPr>
        <w:pStyle w:val="ListParagraph"/>
        <w:numPr>
          <w:ilvl w:val="0"/>
          <w:numId w:val="57"/>
        </w:numPr>
        <w:spacing w:before="120" w:after="120" w:line="276" w:lineRule="auto"/>
        <w:ind w:left="714" w:hanging="357"/>
        <w:contextualSpacing w:val="0"/>
        <w:jc w:val="both"/>
        <w:rPr>
          <w:rFonts w:ascii="Arial" w:eastAsia="Calibri" w:hAnsi="Arial" w:cs="Arial"/>
        </w:rPr>
      </w:pPr>
      <w:r w:rsidRPr="004C78EF">
        <w:rPr>
          <w:rFonts w:ascii="Arial" w:eastAsia="Calibri" w:hAnsi="Arial" w:cs="Arial"/>
        </w:rPr>
        <w:t xml:space="preserve">the decision to allow </w:t>
      </w:r>
      <w:r w:rsidR="007B734C">
        <w:rPr>
          <w:rFonts w:ascii="Arial" w:eastAsia="Calibri" w:hAnsi="Arial" w:cs="Arial"/>
        </w:rPr>
        <w:t>m</w:t>
      </w:r>
      <w:r w:rsidRPr="004C78EF">
        <w:rPr>
          <w:rFonts w:ascii="Arial" w:eastAsia="Calibri" w:hAnsi="Arial" w:cs="Arial"/>
        </w:rPr>
        <w:t xml:space="preserve">embers to retain up to 40% of the total ECA for 2019-20 that is </w:t>
      </w:r>
      <w:r w:rsidRPr="004C78EF">
        <w:rPr>
          <w:rFonts w:ascii="Arial" w:eastAsia="Calibri" w:hAnsi="Arial" w:cs="Arial"/>
          <w:bCs/>
        </w:rPr>
        <w:t>unexpended</w:t>
      </w:r>
      <w:r w:rsidRPr="004C78EF">
        <w:rPr>
          <w:rFonts w:ascii="Arial" w:eastAsia="Calibri" w:hAnsi="Arial" w:cs="Arial"/>
        </w:rPr>
        <w:t>, as opposed to the usual 10% carryover (Determination 20/2020</w:t>
      </w:r>
      <w:r w:rsidR="00522584">
        <w:rPr>
          <w:rFonts w:ascii="Arial" w:eastAsia="Calibri" w:hAnsi="Arial" w:cs="Arial"/>
        </w:rPr>
        <w:t xml:space="preserve"> and clarified in Determination </w:t>
      </w:r>
      <w:r w:rsidR="004E3873">
        <w:rPr>
          <w:rFonts w:ascii="Arial" w:eastAsia="Calibri" w:hAnsi="Arial" w:cs="Arial"/>
        </w:rPr>
        <w:t>22/2020</w:t>
      </w:r>
      <w:r w:rsidRPr="004C78EF">
        <w:rPr>
          <w:rFonts w:ascii="Arial" w:eastAsia="Calibri" w:hAnsi="Arial" w:cs="Arial"/>
        </w:rPr>
        <w:t>); and</w:t>
      </w:r>
    </w:p>
    <w:p w14:paraId="4D1D2BBD" w14:textId="77777777" w:rsidR="002D3E6A" w:rsidRDefault="002D3E6A" w:rsidP="00E92191">
      <w:pPr>
        <w:pStyle w:val="ListParagraph"/>
        <w:numPr>
          <w:ilvl w:val="0"/>
          <w:numId w:val="57"/>
        </w:numPr>
        <w:spacing w:after="120" w:line="276" w:lineRule="auto"/>
        <w:ind w:left="714" w:hanging="357"/>
        <w:jc w:val="both"/>
        <w:rPr>
          <w:rFonts w:ascii="Arial" w:eastAsia="Calibri" w:hAnsi="Arial" w:cs="Arial"/>
        </w:rPr>
      </w:pPr>
      <w:r>
        <w:rPr>
          <w:rFonts w:ascii="Arial" w:eastAsia="Calibri" w:hAnsi="Arial" w:cs="Arial"/>
        </w:rPr>
        <w:t xml:space="preserve">resetting the ECA bands (i.e. combining Bands 1 and 2 and creating a new Band 4) and reallocating electorates leading to a higher proportion of members in higher value bands (Determination 21/2020). </w:t>
      </w:r>
    </w:p>
    <w:p w14:paraId="64E20A1D" w14:textId="682A62CF" w:rsidR="002D3E6A" w:rsidRDefault="59B52A89" w:rsidP="00126CF2">
      <w:pPr>
        <w:spacing w:before="200" w:after="200" w:line="276" w:lineRule="auto"/>
        <w:jc w:val="both"/>
        <w:rPr>
          <w:rFonts w:ascii="Arial" w:eastAsia="Calibri" w:hAnsi="Arial" w:cs="Arial"/>
        </w:rPr>
      </w:pPr>
      <w:r w:rsidRPr="3ACDFE13">
        <w:rPr>
          <w:rFonts w:ascii="Arial" w:eastAsia="Calibri" w:hAnsi="Arial" w:cs="Arial"/>
        </w:rPr>
        <w:t>The 2020-21 Annual Report of ECA Expenditure indicates that</w:t>
      </w:r>
      <w:r w:rsidR="002D3E6A">
        <w:rPr>
          <w:rFonts w:ascii="Arial" w:eastAsia="Calibri" w:hAnsi="Arial" w:cs="Arial"/>
        </w:rPr>
        <w:t xml:space="preserve"> </w:t>
      </w:r>
      <w:r w:rsidR="005E14B4" w:rsidRPr="0087633F">
        <w:rPr>
          <w:rFonts w:ascii="Arial" w:eastAsia="Calibri" w:hAnsi="Arial" w:cs="Arial"/>
        </w:rPr>
        <w:t>86% of all Members</w:t>
      </w:r>
      <w:r w:rsidR="005E14B4">
        <w:rPr>
          <w:rFonts w:ascii="Arial" w:eastAsia="Calibri" w:hAnsi="Arial" w:cs="Arial"/>
        </w:rPr>
        <w:t xml:space="preserve"> spent </w:t>
      </w:r>
      <w:r w:rsidR="005E14B4" w:rsidRPr="0087633F">
        <w:rPr>
          <w:rFonts w:ascii="Arial" w:eastAsia="Calibri" w:hAnsi="Arial" w:cs="Arial"/>
        </w:rPr>
        <w:t>within their ECA allocation</w:t>
      </w:r>
      <w:r w:rsidR="00B67158">
        <w:rPr>
          <w:rFonts w:ascii="Arial" w:eastAsia="Calibri" w:hAnsi="Arial" w:cs="Arial"/>
        </w:rPr>
        <w:t xml:space="preserve">, with </w:t>
      </w:r>
      <w:proofErr w:type="gramStart"/>
      <w:r w:rsidR="00B67158">
        <w:rPr>
          <w:rFonts w:ascii="Arial" w:eastAsia="Calibri" w:hAnsi="Arial" w:cs="Arial"/>
        </w:rPr>
        <w:t>the majority of</w:t>
      </w:r>
      <w:proofErr w:type="gramEnd"/>
      <w:r w:rsidR="00B67158">
        <w:rPr>
          <w:rFonts w:ascii="Arial" w:eastAsia="Calibri" w:hAnsi="Arial" w:cs="Arial"/>
        </w:rPr>
        <w:t xml:space="preserve"> all members expending between 90%</w:t>
      </w:r>
      <w:r w:rsidR="004E3873">
        <w:rPr>
          <w:rFonts w:ascii="Arial" w:eastAsia="Calibri" w:hAnsi="Arial" w:cs="Arial"/>
        </w:rPr>
        <w:t xml:space="preserve"> </w:t>
      </w:r>
      <w:r w:rsidR="00B67158">
        <w:rPr>
          <w:rFonts w:ascii="Arial" w:eastAsia="Calibri" w:hAnsi="Arial" w:cs="Arial"/>
        </w:rPr>
        <w:t xml:space="preserve">- </w:t>
      </w:r>
      <w:r w:rsidR="00970E1A">
        <w:rPr>
          <w:rFonts w:ascii="Arial" w:eastAsia="Calibri" w:hAnsi="Arial" w:cs="Arial"/>
        </w:rPr>
        <w:t xml:space="preserve">100% of their ECA amount. </w:t>
      </w:r>
      <w:r w:rsidR="002D3E6A" w:rsidRPr="00816733">
        <w:rPr>
          <w:rFonts w:ascii="Arial" w:eastAsia="Calibri" w:hAnsi="Arial" w:cs="Arial"/>
        </w:rPr>
        <w:t>This is consistent with previous years except for 2019-20</w:t>
      </w:r>
      <w:r w:rsidR="00B71B0E">
        <w:rPr>
          <w:rFonts w:ascii="Arial" w:eastAsia="Calibri" w:hAnsi="Arial" w:cs="Arial"/>
        </w:rPr>
        <w:t>,</w:t>
      </w:r>
      <w:r w:rsidR="002D3E6A" w:rsidRPr="0050279B">
        <w:rPr>
          <w:rFonts w:ascii="Arial" w:eastAsia="Calibri" w:hAnsi="Arial" w:cs="Arial"/>
        </w:rPr>
        <w:t xml:space="preserve"> where there </w:t>
      </w:r>
      <w:r w:rsidR="009D5D06">
        <w:rPr>
          <w:rFonts w:ascii="Arial" w:eastAsia="Calibri" w:hAnsi="Arial" w:cs="Arial"/>
        </w:rPr>
        <w:t xml:space="preserve">the ECA was underspent, </w:t>
      </w:r>
      <w:proofErr w:type="gramStart"/>
      <w:r w:rsidR="009D5D06">
        <w:rPr>
          <w:rFonts w:ascii="Arial" w:eastAsia="Calibri" w:hAnsi="Arial" w:cs="Arial"/>
        </w:rPr>
        <w:t>likely as</w:t>
      </w:r>
      <w:proofErr w:type="gramEnd"/>
      <w:r w:rsidR="009D5D06">
        <w:rPr>
          <w:rFonts w:ascii="Arial" w:eastAsia="Calibri" w:hAnsi="Arial" w:cs="Arial"/>
        </w:rPr>
        <w:t xml:space="preserve"> an impact of</w:t>
      </w:r>
      <w:r w:rsidR="00FF5DD6">
        <w:rPr>
          <w:rFonts w:ascii="Arial" w:eastAsia="Calibri" w:hAnsi="Arial" w:cs="Arial"/>
        </w:rPr>
        <w:t xml:space="preserve"> the introduction of </w:t>
      </w:r>
      <w:r w:rsidR="002D3E6A" w:rsidRPr="00816733">
        <w:rPr>
          <w:rFonts w:ascii="Arial" w:eastAsia="Calibri" w:hAnsi="Arial" w:cs="Arial"/>
        </w:rPr>
        <w:t xml:space="preserve">the COVID-19 </w:t>
      </w:r>
      <w:r w:rsidR="002D3E6A" w:rsidRPr="00505BF2">
        <w:rPr>
          <w:rFonts w:ascii="Arial" w:eastAsia="Calibri" w:hAnsi="Arial" w:cs="Arial"/>
        </w:rPr>
        <w:t xml:space="preserve">restrictions which </w:t>
      </w:r>
      <w:r w:rsidR="002D3E6A" w:rsidRPr="00816733">
        <w:rPr>
          <w:rFonts w:ascii="Arial" w:eastAsia="Calibri" w:hAnsi="Arial" w:cs="Arial"/>
        </w:rPr>
        <w:t>commenc</w:t>
      </w:r>
      <w:r w:rsidR="002D3E6A" w:rsidRPr="00505BF2">
        <w:rPr>
          <w:rFonts w:ascii="Arial" w:eastAsia="Calibri" w:hAnsi="Arial" w:cs="Arial"/>
        </w:rPr>
        <w:t>ed</w:t>
      </w:r>
      <w:r w:rsidR="002D3E6A" w:rsidRPr="00816733">
        <w:rPr>
          <w:rFonts w:ascii="Arial" w:eastAsia="Calibri" w:hAnsi="Arial" w:cs="Arial"/>
        </w:rPr>
        <w:t xml:space="preserve"> in March 2019.</w:t>
      </w:r>
      <w:r w:rsidR="00F36FAF">
        <w:rPr>
          <w:rFonts w:ascii="Arial" w:eastAsia="Calibri" w:hAnsi="Arial" w:cs="Arial"/>
        </w:rPr>
        <w:t xml:space="preserve"> </w:t>
      </w:r>
    </w:p>
    <w:p w14:paraId="6D7CA6EB" w14:textId="18F7CF6D" w:rsidR="00DF2085" w:rsidRDefault="00351DCA" w:rsidP="00126CF2">
      <w:pPr>
        <w:spacing w:before="200" w:after="200" w:line="276" w:lineRule="auto"/>
        <w:jc w:val="both"/>
        <w:rPr>
          <w:rFonts w:ascii="Arial" w:eastAsia="Calibri" w:hAnsi="Arial" w:cs="Arial"/>
        </w:rPr>
      </w:pPr>
      <w:r>
        <w:rPr>
          <w:rFonts w:ascii="Arial" w:eastAsia="Calibri" w:hAnsi="Arial" w:cs="Arial"/>
        </w:rPr>
        <w:t>In 2020</w:t>
      </w:r>
      <w:r w:rsidR="2F0D3FCD">
        <w:rPr>
          <w:rFonts w:ascii="Arial" w:eastAsia="Calibri" w:hAnsi="Arial" w:cs="Arial"/>
        </w:rPr>
        <w:t xml:space="preserve"> </w:t>
      </w:r>
      <w:r>
        <w:rPr>
          <w:rFonts w:ascii="Arial" w:eastAsia="Calibri" w:hAnsi="Arial" w:cs="Arial"/>
        </w:rPr>
        <w:t xml:space="preserve">- 21, </w:t>
      </w:r>
      <w:r w:rsidR="002D3E6A" w:rsidRPr="00493653">
        <w:rPr>
          <w:rFonts w:ascii="Arial" w:eastAsia="Calibri" w:hAnsi="Arial" w:cs="Arial"/>
        </w:rPr>
        <w:t xml:space="preserve">14 </w:t>
      </w:r>
      <w:r w:rsidR="00AE24D5">
        <w:rPr>
          <w:rFonts w:ascii="Arial" w:eastAsia="Calibri" w:hAnsi="Arial" w:cs="Arial"/>
        </w:rPr>
        <w:t>members spent 100</w:t>
      </w:r>
      <w:r w:rsidR="002D3E6A" w:rsidRPr="00493653">
        <w:rPr>
          <w:rFonts w:ascii="Arial" w:eastAsia="Calibri" w:hAnsi="Arial" w:cs="Arial"/>
        </w:rPr>
        <w:t xml:space="preserve">% or more of their ECA allocation. </w:t>
      </w:r>
      <w:r w:rsidR="009B218B" w:rsidRPr="00965203">
        <w:rPr>
          <w:rFonts w:ascii="Arial" w:eastAsia="Calibri" w:hAnsi="Arial" w:cs="Arial"/>
        </w:rPr>
        <w:t>Of the fourteen members who spent over their ECA in 2020-21, the amount overspent ranged up to 9% over their ECA allocation.</w:t>
      </w:r>
      <w:r w:rsidR="009B218B" w:rsidRPr="00A77BF9">
        <w:rPr>
          <w:rFonts w:ascii="Arial" w:eastAsia="Calibri" w:hAnsi="Arial" w:cs="Arial"/>
          <w:vertAlign w:val="superscript"/>
        </w:rPr>
        <w:footnoteReference w:id="5"/>
      </w:r>
      <w:r w:rsidR="009B218B" w:rsidRPr="00965203">
        <w:rPr>
          <w:rFonts w:ascii="Arial" w:eastAsia="Calibri" w:hAnsi="Arial" w:cs="Arial"/>
        </w:rPr>
        <w:t xml:space="preserve"> </w:t>
      </w:r>
      <w:r w:rsidR="00DF2085" w:rsidRPr="0087633F">
        <w:rPr>
          <w:rFonts w:ascii="Arial" w:eastAsia="Calibri" w:hAnsi="Arial" w:cs="Arial"/>
        </w:rPr>
        <w:t xml:space="preserve">In 2020-21, 3.8% of all </w:t>
      </w:r>
      <w:r w:rsidR="007B734C">
        <w:rPr>
          <w:rFonts w:ascii="Arial" w:eastAsia="Calibri" w:hAnsi="Arial" w:cs="Arial"/>
        </w:rPr>
        <w:t>m</w:t>
      </w:r>
      <w:r w:rsidR="00DF2085" w:rsidRPr="0087633F">
        <w:rPr>
          <w:rFonts w:ascii="Arial" w:eastAsia="Calibri" w:hAnsi="Arial" w:cs="Arial"/>
        </w:rPr>
        <w:t>embers spent less than 90% of their ECA.</w:t>
      </w:r>
      <w:r w:rsidR="00DF2085" w:rsidRPr="00961637">
        <w:rPr>
          <w:vertAlign w:val="superscript"/>
        </w:rPr>
        <w:footnoteReference w:id="6"/>
      </w:r>
      <w:r w:rsidR="00DF2085" w:rsidRPr="0087633F">
        <w:rPr>
          <w:rFonts w:ascii="Arial" w:eastAsia="Calibri" w:hAnsi="Arial" w:cs="Arial"/>
        </w:rPr>
        <w:t xml:space="preserve">  </w:t>
      </w:r>
    </w:p>
    <w:p w14:paraId="2CCEE137" w14:textId="1B13782A" w:rsidR="002108A8" w:rsidRDefault="00B71B0E" w:rsidP="00126CF2">
      <w:pPr>
        <w:spacing w:before="200" w:after="120" w:line="276" w:lineRule="auto"/>
        <w:jc w:val="both"/>
        <w:rPr>
          <w:rFonts w:ascii="Arial" w:eastAsia="Calibri" w:hAnsi="Arial" w:cs="Arial"/>
        </w:rPr>
      </w:pPr>
      <w:r>
        <w:rPr>
          <w:rFonts w:ascii="Arial" w:eastAsia="Calibri" w:hAnsi="Arial" w:cs="Arial"/>
        </w:rPr>
        <w:t>When reviewing the ECA allowance, t</w:t>
      </w:r>
      <w:r w:rsidR="00D81FE7">
        <w:rPr>
          <w:rFonts w:ascii="Arial" w:eastAsia="Calibri" w:hAnsi="Arial" w:cs="Arial"/>
        </w:rPr>
        <w:t xml:space="preserve">he Tribunal </w:t>
      </w:r>
      <w:r w:rsidR="00144DE5">
        <w:rPr>
          <w:rFonts w:ascii="Arial" w:eastAsia="Calibri" w:hAnsi="Arial" w:cs="Arial"/>
        </w:rPr>
        <w:t xml:space="preserve">considered the following </w:t>
      </w:r>
      <w:r w:rsidR="00815938">
        <w:rPr>
          <w:rFonts w:ascii="Arial" w:eastAsia="Calibri" w:hAnsi="Arial" w:cs="Arial"/>
        </w:rPr>
        <w:t>economic</w:t>
      </w:r>
      <w:r w:rsidR="00144DE5">
        <w:rPr>
          <w:rFonts w:ascii="Arial" w:eastAsia="Calibri" w:hAnsi="Arial" w:cs="Arial"/>
        </w:rPr>
        <w:t xml:space="preserve"> indicators</w:t>
      </w:r>
      <w:r w:rsidR="002108A8">
        <w:rPr>
          <w:rFonts w:ascii="Arial" w:eastAsia="Calibri" w:hAnsi="Arial" w:cs="Arial"/>
        </w:rPr>
        <w:t xml:space="preserve">: </w:t>
      </w:r>
    </w:p>
    <w:p w14:paraId="1D6C594A" w14:textId="3CE14B8A" w:rsidR="00D81FE7" w:rsidRPr="00B71B0E" w:rsidRDefault="002108A8" w:rsidP="00E92191">
      <w:pPr>
        <w:pStyle w:val="ListParagraph"/>
        <w:numPr>
          <w:ilvl w:val="0"/>
          <w:numId w:val="106"/>
        </w:numPr>
        <w:spacing w:before="120" w:after="120" w:line="276" w:lineRule="auto"/>
        <w:ind w:left="714" w:hanging="357"/>
        <w:contextualSpacing w:val="0"/>
        <w:jc w:val="both"/>
        <w:rPr>
          <w:rFonts w:ascii="Arial" w:eastAsia="Calibri" w:hAnsi="Arial" w:cs="Arial"/>
        </w:rPr>
      </w:pPr>
      <w:r w:rsidRPr="00B71B0E">
        <w:rPr>
          <w:rFonts w:ascii="Arial" w:eastAsia="Calibri" w:hAnsi="Arial" w:cs="Arial"/>
        </w:rPr>
        <w:t>Average Weekly Ordinary Time Earnings</w:t>
      </w:r>
    </w:p>
    <w:p w14:paraId="3237E0BB" w14:textId="3CE300DF" w:rsidR="002108A8" w:rsidRPr="00B71B0E" w:rsidRDefault="002108A8" w:rsidP="00E92191">
      <w:pPr>
        <w:pStyle w:val="ListParagraph"/>
        <w:numPr>
          <w:ilvl w:val="0"/>
          <w:numId w:val="106"/>
        </w:numPr>
        <w:spacing w:before="120" w:after="120" w:line="276" w:lineRule="auto"/>
        <w:contextualSpacing w:val="0"/>
        <w:jc w:val="both"/>
        <w:rPr>
          <w:rFonts w:ascii="Arial" w:eastAsia="Calibri" w:hAnsi="Arial" w:cs="Arial"/>
        </w:rPr>
      </w:pPr>
      <w:r w:rsidRPr="00B71B0E">
        <w:rPr>
          <w:rFonts w:ascii="Arial" w:eastAsia="Calibri" w:hAnsi="Arial" w:cs="Arial"/>
        </w:rPr>
        <w:t>Consumer Price Index</w:t>
      </w:r>
      <w:r w:rsidR="009D5D06">
        <w:rPr>
          <w:rFonts w:ascii="Arial" w:eastAsia="Calibri" w:hAnsi="Arial" w:cs="Arial"/>
        </w:rPr>
        <w:t xml:space="preserve"> (CPI)</w:t>
      </w:r>
      <w:r w:rsidRPr="00B71B0E">
        <w:rPr>
          <w:rFonts w:ascii="Arial" w:eastAsia="Calibri" w:hAnsi="Arial" w:cs="Arial"/>
        </w:rPr>
        <w:t xml:space="preserve"> (</w:t>
      </w:r>
      <w:r w:rsidR="61E653BE" w:rsidRPr="24D7A37D">
        <w:rPr>
          <w:rFonts w:ascii="Arial" w:eastAsia="Calibri" w:hAnsi="Arial" w:cs="Arial"/>
        </w:rPr>
        <w:t xml:space="preserve">year average to September </w:t>
      </w:r>
      <w:r w:rsidR="00C02DB1" w:rsidRPr="24D7A37D">
        <w:rPr>
          <w:rFonts w:ascii="Arial" w:eastAsia="Calibri" w:hAnsi="Arial" w:cs="Arial"/>
        </w:rPr>
        <w:t xml:space="preserve">Quarter </w:t>
      </w:r>
      <w:r w:rsidRPr="00B71B0E">
        <w:rPr>
          <w:rFonts w:ascii="Arial" w:eastAsia="Calibri" w:hAnsi="Arial" w:cs="Arial"/>
        </w:rPr>
        <w:t>2021)</w:t>
      </w:r>
    </w:p>
    <w:p w14:paraId="253FD917" w14:textId="70B7ED05" w:rsidR="002108A8" w:rsidRPr="00B71B0E" w:rsidRDefault="002108A8" w:rsidP="00E92191">
      <w:pPr>
        <w:pStyle w:val="ListParagraph"/>
        <w:numPr>
          <w:ilvl w:val="0"/>
          <w:numId w:val="106"/>
        </w:numPr>
        <w:spacing w:before="120" w:after="120" w:line="276" w:lineRule="auto"/>
        <w:contextualSpacing w:val="0"/>
        <w:jc w:val="both"/>
        <w:rPr>
          <w:rFonts w:ascii="Arial" w:eastAsia="Calibri" w:hAnsi="Arial" w:cs="Arial"/>
        </w:rPr>
      </w:pPr>
      <w:r w:rsidRPr="00B71B0E">
        <w:rPr>
          <w:rFonts w:ascii="Arial" w:eastAsia="Calibri" w:hAnsi="Arial" w:cs="Arial"/>
        </w:rPr>
        <w:t>Wage Price Index (</w:t>
      </w:r>
      <w:r w:rsidR="00B71B0E">
        <w:rPr>
          <w:rFonts w:ascii="Arial" w:eastAsia="Calibri" w:hAnsi="Arial" w:cs="Arial"/>
        </w:rPr>
        <w:t>for the y</w:t>
      </w:r>
      <w:r w:rsidRPr="00B71B0E">
        <w:rPr>
          <w:rFonts w:ascii="Arial" w:eastAsia="Calibri" w:hAnsi="Arial" w:cs="Arial"/>
        </w:rPr>
        <w:t>ear ending Sept Qtr 2021)</w:t>
      </w:r>
    </w:p>
    <w:p w14:paraId="5B8CAE1F" w14:textId="6850F6F7" w:rsidR="00C9380A" w:rsidRPr="00B71B0E" w:rsidRDefault="009069EF" w:rsidP="00E92191">
      <w:pPr>
        <w:pStyle w:val="ListParagraph"/>
        <w:numPr>
          <w:ilvl w:val="0"/>
          <w:numId w:val="106"/>
        </w:numPr>
        <w:spacing w:before="120" w:after="120" w:line="276" w:lineRule="auto"/>
        <w:contextualSpacing w:val="0"/>
        <w:jc w:val="both"/>
        <w:rPr>
          <w:rFonts w:ascii="Arial" w:eastAsia="Calibri" w:hAnsi="Arial" w:cs="Arial"/>
        </w:rPr>
      </w:pPr>
      <w:r w:rsidRPr="00605CB3">
        <w:rPr>
          <w:rFonts w:ascii="Arial" w:eastAsia="Calibri" w:hAnsi="Arial" w:cs="Arial"/>
        </w:rPr>
        <w:t>Queensland</w:t>
      </w:r>
      <w:r w:rsidRPr="009069EF">
        <w:rPr>
          <w:rFonts w:ascii="Arial" w:eastAsia="Calibri" w:hAnsi="Arial" w:cs="Arial"/>
        </w:rPr>
        <w:t xml:space="preserve"> </w:t>
      </w:r>
      <w:r w:rsidR="00C9380A" w:rsidRPr="00B71B0E">
        <w:rPr>
          <w:rFonts w:ascii="Arial" w:eastAsia="Calibri" w:hAnsi="Arial" w:cs="Arial"/>
        </w:rPr>
        <w:t>Economic growth</w:t>
      </w:r>
    </w:p>
    <w:p w14:paraId="6D97D98F" w14:textId="46980DA1" w:rsidR="00C9380A" w:rsidRDefault="00C9380A" w:rsidP="00E92191">
      <w:pPr>
        <w:pStyle w:val="ListParagraph"/>
        <w:numPr>
          <w:ilvl w:val="0"/>
          <w:numId w:val="106"/>
        </w:numPr>
        <w:spacing w:before="120" w:after="120" w:line="276" w:lineRule="auto"/>
        <w:contextualSpacing w:val="0"/>
        <w:jc w:val="both"/>
        <w:rPr>
          <w:rFonts w:ascii="Arial" w:eastAsia="Calibri" w:hAnsi="Arial" w:cs="Arial"/>
        </w:rPr>
      </w:pPr>
      <w:r w:rsidRPr="00B71B0E">
        <w:rPr>
          <w:rFonts w:ascii="Arial" w:eastAsia="Calibri" w:hAnsi="Arial" w:cs="Arial"/>
        </w:rPr>
        <w:t>Reserve Bank of Australia - Economic Outlook – August 2021</w:t>
      </w:r>
    </w:p>
    <w:p w14:paraId="1A3C2E78" w14:textId="4DF2F397" w:rsidR="00C9380A" w:rsidRPr="00AB52EC" w:rsidRDefault="00E37903" w:rsidP="00B71B0E">
      <w:pPr>
        <w:pStyle w:val="ListParagraph"/>
        <w:numPr>
          <w:ilvl w:val="0"/>
          <w:numId w:val="106"/>
        </w:numPr>
        <w:spacing w:before="200" w:after="120" w:line="276" w:lineRule="auto"/>
        <w:jc w:val="both"/>
        <w:rPr>
          <w:rFonts w:ascii="Arial" w:eastAsia="Calibri" w:hAnsi="Arial" w:cs="Arial"/>
        </w:rPr>
      </w:pPr>
      <w:r w:rsidRPr="00E37903">
        <w:rPr>
          <w:rFonts w:ascii="Arial" w:eastAsia="Calibri" w:hAnsi="Arial" w:cs="Arial"/>
        </w:rPr>
        <w:t xml:space="preserve">Queensland </w:t>
      </w:r>
      <w:r>
        <w:rPr>
          <w:rFonts w:ascii="Arial" w:eastAsia="Calibri" w:hAnsi="Arial" w:cs="Arial"/>
        </w:rPr>
        <w:t xml:space="preserve">Government </w:t>
      </w:r>
      <w:r w:rsidR="00C9380A" w:rsidRPr="00AB52EC">
        <w:rPr>
          <w:rFonts w:ascii="Arial" w:eastAsia="Calibri" w:hAnsi="Arial" w:cs="Arial"/>
        </w:rPr>
        <w:t xml:space="preserve">indexation rates (2021 – 22) </w:t>
      </w:r>
    </w:p>
    <w:p w14:paraId="2BDDBA97" w14:textId="0999344B" w:rsidR="00E37903" w:rsidRPr="00EA3940" w:rsidRDefault="009D5D06" w:rsidP="00E92191">
      <w:pPr>
        <w:spacing w:before="200" w:after="200" w:line="276" w:lineRule="auto"/>
        <w:jc w:val="both"/>
        <w:rPr>
          <w:rFonts w:ascii="Arial" w:eastAsia="Calibri" w:hAnsi="Arial" w:cs="Arial"/>
        </w:rPr>
      </w:pPr>
      <w:r>
        <w:rPr>
          <w:rFonts w:ascii="Arial" w:eastAsia="Calibri" w:hAnsi="Arial" w:cs="Arial"/>
        </w:rPr>
        <w:lastRenderedPageBreak/>
        <w:t xml:space="preserve">As </w:t>
      </w:r>
      <w:r w:rsidR="00E37903" w:rsidRPr="00EA3940">
        <w:rPr>
          <w:rFonts w:ascii="Arial" w:eastAsia="Calibri" w:hAnsi="Arial" w:cs="Arial"/>
        </w:rPr>
        <w:t>the COVID-19 pandemic has led to an unusual inflationary environment</w:t>
      </w:r>
      <w:r>
        <w:rPr>
          <w:rFonts w:ascii="Arial" w:eastAsia="Calibri" w:hAnsi="Arial" w:cs="Arial"/>
        </w:rPr>
        <w:t>, t</w:t>
      </w:r>
      <w:r w:rsidR="00E37903" w:rsidRPr="00EA3940">
        <w:rPr>
          <w:rFonts w:ascii="Arial" w:eastAsia="Calibri" w:hAnsi="Arial" w:cs="Arial"/>
        </w:rPr>
        <w:t xml:space="preserve">he </w:t>
      </w:r>
      <w:r w:rsidR="00B95B31">
        <w:rPr>
          <w:rFonts w:ascii="Arial" w:eastAsia="Calibri" w:hAnsi="Arial" w:cs="Arial"/>
        </w:rPr>
        <w:t>Tribunal considered</w:t>
      </w:r>
      <w:r w:rsidR="00E37903" w:rsidRPr="00EA3940">
        <w:rPr>
          <w:rFonts w:ascii="Arial" w:eastAsia="Calibri" w:hAnsi="Arial" w:cs="Arial"/>
        </w:rPr>
        <w:t xml:space="preserve"> year-average rates of growth </w:t>
      </w:r>
      <w:r>
        <w:rPr>
          <w:rFonts w:ascii="Arial" w:eastAsia="Calibri" w:hAnsi="Arial" w:cs="Arial"/>
        </w:rPr>
        <w:t xml:space="preserve">in CPI </w:t>
      </w:r>
      <w:r w:rsidR="00E37903" w:rsidRPr="00EA3940">
        <w:rPr>
          <w:rFonts w:ascii="Arial" w:eastAsia="Calibri" w:hAnsi="Arial" w:cs="Arial"/>
        </w:rPr>
        <w:t>to smooth out quarter-to-quarter volatility that has occurred due to sharp fluctuations in CPI components related to factors such as oil prices and changes in government subsidies (</w:t>
      </w:r>
      <w:r w:rsidR="007F1020">
        <w:rPr>
          <w:rFonts w:ascii="Arial" w:eastAsia="Calibri" w:hAnsi="Arial" w:cs="Arial"/>
        </w:rPr>
        <w:t xml:space="preserve">e.g. </w:t>
      </w:r>
      <w:r w:rsidR="00E37903" w:rsidRPr="00EA3940">
        <w:rPr>
          <w:rFonts w:ascii="Arial" w:eastAsia="Calibri" w:hAnsi="Arial" w:cs="Arial"/>
        </w:rPr>
        <w:t xml:space="preserve">free childcare, HomeBuilder, </w:t>
      </w:r>
      <w:proofErr w:type="gramStart"/>
      <w:r w:rsidR="00E37903" w:rsidRPr="00EA3940">
        <w:rPr>
          <w:rFonts w:ascii="Arial" w:eastAsia="Calibri" w:hAnsi="Arial" w:cs="Arial"/>
        </w:rPr>
        <w:t>etc.</w:t>
      </w:r>
      <w:proofErr w:type="gramEnd"/>
      <w:r w:rsidR="00E37903" w:rsidRPr="00EA3940">
        <w:rPr>
          <w:rFonts w:ascii="Arial" w:eastAsia="Calibri" w:hAnsi="Arial" w:cs="Arial"/>
        </w:rPr>
        <w:t xml:space="preserve">). </w:t>
      </w:r>
    </w:p>
    <w:p w14:paraId="733186CB" w14:textId="5C9BC336" w:rsidR="00BC7368" w:rsidRDefault="007A77B3" w:rsidP="004D5FFC">
      <w:pPr>
        <w:spacing w:before="200" w:after="200" w:line="276" w:lineRule="auto"/>
        <w:jc w:val="both"/>
        <w:rPr>
          <w:rFonts w:ascii="Arial" w:eastAsia="Calibri" w:hAnsi="Arial" w:cs="Arial"/>
        </w:rPr>
      </w:pPr>
      <w:r w:rsidRPr="004D5FFC">
        <w:rPr>
          <w:rFonts w:ascii="Arial" w:eastAsia="Calibri" w:hAnsi="Arial" w:cs="Arial"/>
        </w:rPr>
        <w:t xml:space="preserve">The Tribunal </w:t>
      </w:r>
      <w:r w:rsidR="000B2685" w:rsidRPr="004D5FFC">
        <w:rPr>
          <w:rFonts w:ascii="Arial" w:eastAsia="Calibri" w:hAnsi="Arial" w:cs="Arial"/>
        </w:rPr>
        <w:t>decided not to increase the quantum of the ECA bands</w:t>
      </w:r>
      <w:r w:rsidR="00BB7F46" w:rsidRPr="004D5FFC">
        <w:rPr>
          <w:rFonts w:ascii="Arial" w:eastAsia="Calibri" w:hAnsi="Arial" w:cs="Arial"/>
        </w:rPr>
        <w:t xml:space="preserve">. In making its decision the Tribunal noted that all ECA bands received $17,000 in additional funding </w:t>
      </w:r>
      <w:r w:rsidR="00BC7368" w:rsidRPr="004D5FFC">
        <w:rPr>
          <w:rFonts w:ascii="Arial" w:eastAsia="Calibri" w:hAnsi="Arial" w:cs="Arial"/>
        </w:rPr>
        <w:t>through Determination 21/2020 representing an increase of between 21.7% to 23.5</w:t>
      </w:r>
      <w:r w:rsidR="00BC7368" w:rsidRPr="22D8C6D4">
        <w:rPr>
          <w:rFonts w:ascii="Arial" w:eastAsia="Calibri" w:hAnsi="Arial" w:cs="Arial"/>
        </w:rPr>
        <w:t>%</w:t>
      </w:r>
      <w:r w:rsidR="1445A810" w:rsidRPr="22D8C6D4">
        <w:rPr>
          <w:rFonts w:ascii="Arial" w:eastAsia="Calibri" w:hAnsi="Arial" w:cs="Arial"/>
        </w:rPr>
        <w:t xml:space="preserve"> across the four bands</w:t>
      </w:r>
      <w:r w:rsidR="00BC7368" w:rsidRPr="22D8C6D4">
        <w:rPr>
          <w:rFonts w:ascii="Arial" w:eastAsia="Calibri" w:hAnsi="Arial" w:cs="Arial"/>
        </w:rPr>
        <w:t>.</w:t>
      </w:r>
      <w:r w:rsidR="00BC7368" w:rsidRPr="004D5FFC">
        <w:rPr>
          <w:rFonts w:ascii="Arial" w:eastAsia="Calibri" w:hAnsi="Arial" w:cs="Arial"/>
        </w:rPr>
        <w:t xml:space="preserve"> </w:t>
      </w:r>
      <w:r w:rsidR="1E9C854A" w:rsidRPr="5E31E669">
        <w:rPr>
          <w:rFonts w:ascii="Arial" w:eastAsia="Calibri" w:hAnsi="Arial" w:cs="Arial"/>
        </w:rPr>
        <w:t xml:space="preserve">In addition, the Tribunal noted that the $17,000 took effect on 1 November 2020 and therefore expenditure data for a full financial year was not yet available. </w:t>
      </w:r>
    </w:p>
    <w:p w14:paraId="34F24124" w14:textId="4EEC6E66" w:rsidR="00B424F6" w:rsidRPr="00B424F6" w:rsidRDefault="00B424F6" w:rsidP="00B424F6">
      <w:pPr>
        <w:pStyle w:val="Subtitle"/>
        <w:keepNext/>
        <w:keepLines/>
        <w:spacing w:before="200" w:after="200" w:line="257" w:lineRule="auto"/>
        <w:rPr>
          <w:rFonts w:ascii="Arial" w:hAnsi="Arial" w:cs="Arial"/>
          <w:sz w:val="22"/>
          <w:szCs w:val="22"/>
        </w:rPr>
      </w:pPr>
      <w:r w:rsidRPr="00B424F6">
        <w:rPr>
          <w:rFonts w:ascii="Arial" w:hAnsi="Arial" w:cs="Arial"/>
          <w:sz w:val="22"/>
          <w:szCs w:val="22"/>
        </w:rPr>
        <w:t>Amendments to the ECA Formula</w:t>
      </w:r>
    </w:p>
    <w:p w14:paraId="42792B01" w14:textId="6358FE87" w:rsidR="004F5E8F" w:rsidRDefault="004F5E8F" w:rsidP="000C4B59">
      <w:pPr>
        <w:spacing w:before="200" w:after="200" w:line="276" w:lineRule="auto"/>
        <w:jc w:val="both"/>
        <w:rPr>
          <w:rFonts w:ascii="Arial" w:eastAsia="Calibri" w:hAnsi="Arial" w:cs="Arial"/>
        </w:rPr>
      </w:pPr>
      <w:proofErr w:type="gramStart"/>
      <w:r>
        <w:rPr>
          <w:rFonts w:ascii="Arial" w:eastAsia="Calibri" w:hAnsi="Arial" w:cs="Arial"/>
        </w:rPr>
        <w:t>Some</w:t>
      </w:r>
      <w:proofErr w:type="gramEnd"/>
      <w:r>
        <w:rPr>
          <w:rFonts w:ascii="Arial" w:eastAsia="Calibri" w:hAnsi="Arial" w:cs="Arial"/>
        </w:rPr>
        <w:t xml:space="preserve"> </w:t>
      </w:r>
      <w:r w:rsidR="00684B98">
        <w:rPr>
          <w:rFonts w:ascii="Arial" w:eastAsia="Calibri" w:hAnsi="Arial" w:cs="Arial"/>
        </w:rPr>
        <w:t>m</w:t>
      </w:r>
      <w:r>
        <w:rPr>
          <w:rFonts w:ascii="Arial" w:eastAsia="Calibri" w:hAnsi="Arial" w:cs="Arial"/>
        </w:rPr>
        <w:t xml:space="preserve">embers and the Clerk raised issues with the Tribunal about the </w:t>
      </w:r>
      <w:r w:rsidR="0010637A">
        <w:rPr>
          <w:rFonts w:ascii="Arial" w:eastAsia="Calibri" w:hAnsi="Arial" w:cs="Arial"/>
        </w:rPr>
        <w:t xml:space="preserve">adequacy of the ECA funding </w:t>
      </w:r>
      <w:r w:rsidR="00627AA6">
        <w:rPr>
          <w:rFonts w:ascii="Arial" w:eastAsia="Calibri" w:hAnsi="Arial" w:cs="Arial"/>
        </w:rPr>
        <w:t>for electorates with unique characteristics</w:t>
      </w:r>
      <w:r>
        <w:rPr>
          <w:rFonts w:ascii="Arial" w:eastAsia="Calibri" w:hAnsi="Arial" w:cs="Arial"/>
        </w:rPr>
        <w:t xml:space="preserve"> (e.g. number of enrolled electors significantly higher than average, large sea area</w:t>
      </w:r>
      <w:r w:rsidR="003F45FA">
        <w:rPr>
          <w:rFonts w:ascii="Arial" w:eastAsia="Calibri" w:hAnsi="Arial" w:cs="Arial"/>
        </w:rPr>
        <w:t xml:space="preserve"> in the electorate</w:t>
      </w:r>
      <w:r w:rsidR="0010637A">
        <w:rPr>
          <w:rFonts w:ascii="Arial" w:eastAsia="Calibri" w:hAnsi="Arial" w:cs="Arial"/>
        </w:rPr>
        <w:t xml:space="preserve"> area</w:t>
      </w:r>
      <w:r w:rsidR="003F45FA">
        <w:rPr>
          <w:rFonts w:ascii="Arial" w:eastAsia="Calibri" w:hAnsi="Arial" w:cs="Arial"/>
        </w:rPr>
        <w:t xml:space="preserve">). It </w:t>
      </w:r>
      <w:proofErr w:type="gramStart"/>
      <w:r w:rsidR="0010637A">
        <w:rPr>
          <w:rFonts w:ascii="Arial" w:eastAsia="Calibri" w:hAnsi="Arial" w:cs="Arial"/>
        </w:rPr>
        <w:t>was submitted</w:t>
      </w:r>
      <w:proofErr w:type="gramEnd"/>
      <w:r w:rsidR="003F45FA">
        <w:rPr>
          <w:rFonts w:ascii="Arial" w:eastAsia="Calibri" w:hAnsi="Arial" w:cs="Arial"/>
        </w:rPr>
        <w:t xml:space="preserve"> that the current ECA </w:t>
      </w:r>
      <w:r w:rsidR="118C08AD" w:rsidRPr="5E31E669">
        <w:rPr>
          <w:rFonts w:ascii="Arial" w:eastAsia="Calibri" w:hAnsi="Arial" w:cs="Arial"/>
        </w:rPr>
        <w:t>f</w:t>
      </w:r>
      <w:r w:rsidR="003F45FA">
        <w:rPr>
          <w:rFonts w:ascii="Arial" w:eastAsia="Calibri" w:hAnsi="Arial" w:cs="Arial"/>
        </w:rPr>
        <w:t>ormula and the subsequent funding allocation did not address the needs of those electorates with unique characteristics.</w:t>
      </w:r>
      <w:r>
        <w:rPr>
          <w:rFonts w:ascii="Arial" w:eastAsia="Calibri" w:hAnsi="Arial" w:cs="Arial"/>
        </w:rPr>
        <w:t xml:space="preserve"> </w:t>
      </w:r>
    </w:p>
    <w:p w14:paraId="6BB5BE3B" w14:textId="0BC8B806" w:rsidR="003F45FA" w:rsidRDefault="003F45FA" w:rsidP="000C4B59">
      <w:pPr>
        <w:spacing w:before="200" w:after="200" w:line="276" w:lineRule="auto"/>
        <w:jc w:val="both"/>
        <w:rPr>
          <w:rFonts w:ascii="Arial" w:eastAsia="Calibri" w:hAnsi="Arial" w:cs="Arial"/>
        </w:rPr>
      </w:pPr>
      <w:r>
        <w:rPr>
          <w:rFonts w:ascii="Arial" w:eastAsia="Calibri" w:hAnsi="Arial" w:cs="Arial"/>
        </w:rPr>
        <w:t xml:space="preserve">The Tribunal considered the ECA formula </w:t>
      </w:r>
      <w:r w:rsidR="00C87368">
        <w:rPr>
          <w:rFonts w:ascii="Arial" w:eastAsia="Calibri" w:hAnsi="Arial" w:cs="Arial"/>
        </w:rPr>
        <w:t xml:space="preserve">including the historical basis </w:t>
      </w:r>
      <w:r>
        <w:rPr>
          <w:rFonts w:ascii="Arial" w:eastAsia="Calibri" w:hAnsi="Arial" w:cs="Arial"/>
        </w:rPr>
        <w:t xml:space="preserve">and whether there was a need for a review. </w:t>
      </w:r>
    </w:p>
    <w:p w14:paraId="687037CE" w14:textId="79A64FF1" w:rsidR="003F45FA" w:rsidRDefault="003F45FA" w:rsidP="003F45FA">
      <w:pPr>
        <w:spacing w:before="200" w:after="200" w:line="276" w:lineRule="auto"/>
        <w:jc w:val="both"/>
        <w:rPr>
          <w:rFonts w:ascii="Arial" w:hAnsi="Arial" w:cs="Arial"/>
          <w:bCs/>
        </w:rPr>
      </w:pPr>
      <w:r>
        <w:rPr>
          <w:rFonts w:ascii="Arial" w:eastAsia="Calibri" w:hAnsi="Arial" w:cs="Arial"/>
        </w:rPr>
        <w:t xml:space="preserve">The Tribunal determined that no review of the ECA formula </w:t>
      </w:r>
      <w:proofErr w:type="gramStart"/>
      <w:r>
        <w:rPr>
          <w:rFonts w:ascii="Arial" w:eastAsia="Calibri" w:hAnsi="Arial" w:cs="Arial"/>
        </w:rPr>
        <w:t>was required</w:t>
      </w:r>
      <w:proofErr w:type="gramEnd"/>
      <w:r>
        <w:rPr>
          <w:rFonts w:ascii="Arial" w:eastAsia="Calibri" w:hAnsi="Arial" w:cs="Arial"/>
        </w:rPr>
        <w:t>. In reaching this decision, the Tribunal confirmed</w:t>
      </w:r>
      <w:r w:rsidRPr="008125D1">
        <w:rPr>
          <w:rFonts w:ascii="Arial" w:eastAsia="Calibri" w:hAnsi="Arial" w:cs="Arial"/>
        </w:rPr>
        <w:t xml:space="preserve"> its view that sea area </w:t>
      </w:r>
      <w:r w:rsidR="00C87368" w:rsidRPr="008125D1">
        <w:rPr>
          <w:rFonts w:ascii="Arial" w:eastAsia="Calibri" w:hAnsi="Arial" w:cs="Arial"/>
        </w:rPr>
        <w:t>was</w:t>
      </w:r>
      <w:r w:rsidRPr="008125D1">
        <w:rPr>
          <w:rFonts w:ascii="Arial" w:eastAsia="Calibri" w:hAnsi="Arial" w:cs="Arial"/>
        </w:rPr>
        <w:t xml:space="preserve"> not to </w:t>
      </w:r>
      <w:proofErr w:type="gramStart"/>
      <w:r w:rsidRPr="008125D1">
        <w:rPr>
          <w:rFonts w:ascii="Arial" w:eastAsia="Calibri" w:hAnsi="Arial" w:cs="Arial"/>
        </w:rPr>
        <w:t>be included</w:t>
      </w:r>
      <w:proofErr w:type="gramEnd"/>
      <w:r w:rsidRPr="008125D1">
        <w:rPr>
          <w:rFonts w:ascii="Arial" w:eastAsia="Calibri" w:hAnsi="Arial" w:cs="Arial"/>
        </w:rPr>
        <w:t xml:space="preserve"> in the calculation of the electorate </w:t>
      </w:r>
      <w:r w:rsidR="00C87368" w:rsidRPr="008125D1">
        <w:rPr>
          <w:rFonts w:ascii="Arial" w:eastAsia="Calibri" w:hAnsi="Arial" w:cs="Arial"/>
        </w:rPr>
        <w:t xml:space="preserve">geographical </w:t>
      </w:r>
      <w:r w:rsidRPr="008125D1">
        <w:rPr>
          <w:rFonts w:ascii="Arial" w:eastAsia="Calibri" w:hAnsi="Arial" w:cs="Arial"/>
        </w:rPr>
        <w:t>size and that the</w:t>
      </w:r>
      <w:r>
        <w:rPr>
          <w:rFonts w:ascii="Arial" w:hAnsi="Arial" w:cs="Arial"/>
          <w:bCs/>
        </w:rPr>
        <w:t xml:space="preserve"> use of electoral rol</w:t>
      </w:r>
      <w:r w:rsidR="00447954">
        <w:rPr>
          <w:rFonts w:ascii="Arial" w:hAnsi="Arial" w:cs="Arial"/>
          <w:bCs/>
        </w:rPr>
        <w:t>l</w:t>
      </w:r>
      <w:r>
        <w:rPr>
          <w:rFonts w:ascii="Arial" w:hAnsi="Arial" w:cs="Arial"/>
          <w:bCs/>
        </w:rPr>
        <w:t xml:space="preserve"> data is preferred over population data. </w:t>
      </w:r>
    </w:p>
    <w:p w14:paraId="443FB8DA" w14:textId="16E0CF45" w:rsidR="00810771" w:rsidRPr="002B1B60" w:rsidRDefault="008D71D6" w:rsidP="008D71D6">
      <w:pPr>
        <w:spacing w:before="200" w:after="200" w:line="276" w:lineRule="auto"/>
        <w:jc w:val="both"/>
        <w:rPr>
          <w:rFonts w:ascii="Arial" w:hAnsi="Arial" w:cs="Arial"/>
          <w:bCs/>
        </w:rPr>
      </w:pPr>
      <w:r w:rsidRPr="002B1B60">
        <w:rPr>
          <w:rFonts w:ascii="Arial" w:hAnsi="Arial" w:cs="Arial"/>
          <w:bCs/>
        </w:rPr>
        <w:t xml:space="preserve">However, the Tribunal recognised that special </w:t>
      </w:r>
      <w:r w:rsidR="00D41CD6" w:rsidRPr="002B1B60">
        <w:rPr>
          <w:rFonts w:ascii="Arial" w:hAnsi="Arial" w:cs="Arial"/>
          <w:bCs/>
        </w:rPr>
        <w:t>additional funding</w:t>
      </w:r>
      <w:r w:rsidR="00DD647E" w:rsidRPr="002B1B60">
        <w:rPr>
          <w:rFonts w:ascii="Arial" w:hAnsi="Arial" w:cs="Arial"/>
          <w:bCs/>
        </w:rPr>
        <w:t xml:space="preserve">, </w:t>
      </w:r>
      <w:r w:rsidR="00D41CD6" w:rsidRPr="002B1B60">
        <w:rPr>
          <w:rFonts w:ascii="Arial" w:hAnsi="Arial" w:cs="Arial"/>
          <w:bCs/>
        </w:rPr>
        <w:t xml:space="preserve">a </w:t>
      </w:r>
      <w:r w:rsidR="00DD647E" w:rsidRPr="002B1B60">
        <w:rPr>
          <w:rFonts w:ascii="Arial" w:hAnsi="Arial" w:cs="Arial"/>
          <w:bCs/>
        </w:rPr>
        <w:t>high enrolment supplement</w:t>
      </w:r>
      <w:r w:rsidR="001810CA" w:rsidRPr="002B1B60">
        <w:rPr>
          <w:rFonts w:ascii="Arial" w:hAnsi="Arial" w:cs="Arial"/>
          <w:bCs/>
        </w:rPr>
        <w:t xml:space="preserve"> of $2500</w:t>
      </w:r>
      <w:r w:rsidR="00DD647E" w:rsidRPr="002B1B60">
        <w:rPr>
          <w:rFonts w:ascii="Arial" w:hAnsi="Arial" w:cs="Arial"/>
          <w:bCs/>
        </w:rPr>
        <w:t>,</w:t>
      </w:r>
      <w:r w:rsidRPr="002B1B60">
        <w:rPr>
          <w:rFonts w:ascii="Arial" w:hAnsi="Arial" w:cs="Arial"/>
          <w:bCs/>
        </w:rPr>
        <w:t xml:space="preserve"> is appropriate for those electorates </w:t>
      </w:r>
      <w:r w:rsidR="00810771" w:rsidRPr="002B1B60">
        <w:rPr>
          <w:rFonts w:ascii="Arial" w:hAnsi="Arial" w:cs="Arial"/>
          <w:bCs/>
        </w:rPr>
        <w:t xml:space="preserve">in Band 4, </w:t>
      </w:r>
      <w:r w:rsidR="00495ED3" w:rsidRPr="002B1B60">
        <w:rPr>
          <w:rFonts w:ascii="Arial" w:hAnsi="Arial" w:cs="Arial"/>
          <w:bCs/>
        </w:rPr>
        <w:t>with a total number of</w:t>
      </w:r>
      <w:r w:rsidRPr="002B1B60">
        <w:rPr>
          <w:rFonts w:ascii="Arial" w:hAnsi="Arial" w:cs="Arial"/>
          <w:bCs/>
        </w:rPr>
        <w:t xml:space="preserve"> </w:t>
      </w:r>
      <w:r w:rsidR="00AB2372" w:rsidRPr="002B1B60">
        <w:rPr>
          <w:rFonts w:ascii="Arial" w:hAnsi="Arial" w:cs="Arial"/>
          <w:bCs/>
        </w:rPr>
        <w:t xml:space="preserve">enrolled </w:t>
      </w:r>
      <w:r w:rsidR="00495ED3" w:rsidRPr="002B1B60">
        <w:rPr>
          <w:rFonts w:ascii="Arial" w:hAnsi="Arial" w:cs="Arial"/>
          <w:bCs/>
        </w:rPr>
        <w:t xml:space="preserve">electors </w:t>
      </w:r>
      <w:r w:rsidRPr="002B1B60">
        <w:rPr>
          <w:rFonts w:ascii="Arial" w:hAnsi="Arial" w:cs="Arial"/>
          <w:bCs/>
        </w:rPr>
        <w:t xml:space="preserve">significantly above the </w:t>
      </w:r>
      <w:r w:rsidR="00495ED3" w:rsidRPr="002B1B60">
        <w:rPr>
          <w:rFonts w:ascii="Arial" w:hAnsi="Arial" w:cs="Arial"/>
          <w:bCs/>
        </w:rPr>
        <w:t>average number of enrolled electors across all electorates, commonly referred to as the quota.</w:t>
      </w:r>
      <w:r w:rsidR="00495ED3" w:rsidRPr="002B1B60">
        <w:rPr>
          <w:rStyle w:val="FootnoteReference"/>
          <w:rFonts w:ascii="Arial" w:hAnsi="Arial" w:cs="Arial"/>
          <w:bCs/>
        </w:rPr>
        <w:footnoteReference w:id="7"/>
      </w:r>
      <w:r w:rsidR="00495ED3" w:rsidRPr="002B1B60">
        <w:rPr>
          <w:rFonts w:ascii="Arial" w:hAnsi="Arial" w:cs="Arial"/>
          <w:bCs/>
        </w:rPr>
        <w:t xml:space="preserve"> </w:t>
      </w:r>
    </w:p>
    <w:p w14:paraId="3123D2DF" w14:textId="700CC009" w:rsidR="00810771" w:rsidRPr="002B1B60" w:rsidRDefault="00AB2372" w:rsidP="008D71D6">
      <w:pPr>
        <w:spacing w:before="200" w:after="200" w:line="276" w:lineRule="auto"/>
        <w:jc w:val="both"/>
        <w:rPr>
          <w:rFonts w:ascii="Arial" w:hAnsi="Arial" w:cs="Arial"/>
          <w:bCs/>
        </w:rPr>
      </w:pPr>
      <w:r w:rsidRPr="002B1B60">
        <w:rPr>
          <w:rFonts w:ascii="Arial" w:hAnsi="Arial" w:cs="Arial"/>
          <w:bCs/>
        </w:rPr>
        <w:t xml:space="preserve">The Tribunal </w:t>
      </w:r>
      <w:r w:rsidR="003F52B3" w:rsidRPr="002B1B60">
        <w:rPr>
          <w:rFonts w:ascii="Arial" w:hAnsi="Arial" w:cs="Arial"/>
          <w:bCs/>
        </w:rPr>
        <w:t>considers</w:t>
      </w:r>
      <w:r w:rsidR="007F0CF7" w:rsidRPr="002B1B60">
        <w:rPr>
          <w:rFonts w:ascii="Arial" w:hAnsi="Arial" w:cs="Arial"/>
          <w:bCs/>
        </w:rPr>
        <w:t xml:space="preserve"> </w:t>
      </w:r>
      <w:r w:rsidR="006A2618" w:rsidRPr="002B1B60">
        <w:rPr>
          <w:rFonts w:ascii="Arial" w:hAnsi="Arial" w:cs="Arial"/>
          <w:bCs/>
        </w:rPr>
        <w:t>that</w:t>
      </w:r>
      <w:r w:rsidR="007F0CF7" w:rsidRPr="002B1B60">
        <w:rPr>
          <w:rFonts w:ascii="Arial" w:hAnsi="Arial" w:cs="Arial"/>
          <w:bCs/>
        </w:rPr>
        <w:t xml:space="preserve"> to be eligible for additional funding</w:t>
      </w:r>
      <w:r w:rsidR="00810771" w:rsidRPr="002B1B60">
        <w:rPr>
          <w:rFonts w:ascii="Arial" w:hAnsi="Arial" w:cs="Arial"/>
          <w:bCs/>
        </w:rPr>
        <w:t>:</w:t>
      </w:r>
    </w:p>
    <w:p w14:paraId="382F8751" w14:textId="03007D28" w:rsidR="00810771" w:rsidRPr="002B1B60" w:rsidRDefault="00810771" w:rsidP="00BC3474">
      <w:pPr>
        <w:pStyle w:val="ListParagraph"/>
        <w:numPr>
          <w:ilvl w:val="0"/>
          <w:numId w:val="120"/>
        </w:numPr>
        <w:spacing w:before="200" w:after="200" w:line="276" w:lineRule="auto"/>
        <w:jc w:val="both"/>
        <w:rPr>
          <w:rFonts w:ascii="Arial" w:hAnsi="Arial" w:cs="Arial"/>
          <w:bCs/>
        </w:rPr>
      </w:pPr>
      <w:r w:rsidRPr="002B1B60">
        <w:rPr>
          <w:rFonts w:ascii="Arial" w:hAnsi="Arial" w:cs="Arial"/>
          <w:bCs/>
        </w:rPr>
        <w:t>the electorate must be in ECA Band 4;</w:t>
      </w:r>
      <w:r w:rsidR="00944ED0" w:rsidRPr="002B1B60">
        <w:rPr>
          <w:rFonts w:ascii="Arial" w:hAnsi="Arial" w:cs="Arial"/>
          <w:bCs/>
        </w:rPr>
        <w:t xml:space="preserve"> and</w:t>
      </w:r>
    </w:p>
    <w:p w14:paraId="76B82B4D" w14:textId="3459B98A" w:rsidR="008D71D6" w:rsidRPr="002B1B60" w:rsidRDefault="007F0CF7" w:rsidP="00BC3474">
      <w:pPr>
        <w:pStyle w:val="ListParagraph"/>
        <w:numPr>
          <w:ilvl w:val="0"/>
          <w:numId w:val="120"/>
        </w:numPr>
        <w:spacing w:before="200" w:after="200" w:line="276" w:lineRule="auto"/>
        <w:jc w:val="both"/>
        <w:rPr>
          <w:rFonts w:ascii="Arial" w:hAnsi="Arial" w:cs="Arial"/>
          <w:bCs/>
        </w:rPr>
      </w:pPr>
      <w:r w:rsidRPr="002B1B60">
        <w:rPr>
          <w:rFonts w:ascii="Arial" w:hAnsi="Arial" w:cs="Arial"/>
          <w:bCs/>
        </w:rPr>
        <w:t xml:space="preserve">the number of electors </w:t>
      </w:r>
      <w:r w:rsidR="00DD017E" w:rsidRPr="002B1B60">
        <w:rPr>
          <w:rFonts w:ascii="Arial" w:hAnsi="Arial" w:cs="Arial"/>
          <w:bCs/>
        </w:rPr>
        <w:t>is</w:t>
      </w:r>
      <w:r w:rsidRPr="002B1B60">
        <w:rPr>
          <w:rFonts w:ascii="Arial" w:hAnsi="Arial" w:cs="Arial"/>
          <w:bCs/>
        </w:rPr>
        <w:t xml:space="preserve"> 25% or more</w:t>
      </w:r>
      <w:r w:rsidR="00944ED0" w:rsidRPr="002B1B60">
        <w:rPr>
          <w:rFonts w:ascii="Arial" w:hAnsi="Arial" w:cs="Arial"/>
          <w:bCs/>
        </w:rPr>
        <w:t xml:space="preserve"> above the quota</w:t>
      </w:r>
      <w:r w:rsidR="006A2618" w:rsidRPr="002B1B60">
        <w:rPr>
          <w:rFonts w:ascii="Arial" w:hAnsi="Arial" w:cs="Arial"/>
          <w:bCs/>
        </w:rPr>
        <w:t>,</w:t>
      </w:r>
      <w:r w:rsidR="008D71D6" w:rsidRPr="002B1B60">
        <w:rPr>
          <w:rFonts w:ascii="Arial" w:hAnsi="Arial" w:cs="Arial"/>
          <w:bCs/>
        </w:rPr>
        <w:t xml:space="preserve"> over</w:t>
      </w:r>
      <w:r w:rsidR="00AB2372" w:rsidRPr="002B1B60">
        <w:rPr>
          <w:rFonts w:ascii="Arial" w:hAnsi="Arial" w:cs="Arial"/>
          <w:bCs/>
        </w:rPr>
        <w:t xml:space="preserve"> a</w:t>
      </w:r>
      <w:r w:rsidR="00495ED3" w:rsidRPr="002B1B60">
        <w:rPr>
          <w:rFonts w:ascii="Arial" w:hAnsi="Arial" w:cs="Arial"/>
          <w:bCs/>
        </w:rPr>
        <w:t xml:space="preserve"> </w:t>
      </w:r>
      <w:r w:rsidR="00AB2372" w:rsidRPr="002B1B60">
        <w:rPr>
          <w:rFonts w:ascii="Arial" w:hAnsi="Arial" w:cs="Arial"/>
          <w:bCs/>
        </w:rPr>
        <w:t>period of</w:t>
      </w:r>
      <w:r w:rsidR="006A2618" w:rsidRPr="002B1B60">
        <w:rPr>
          <w:rFonts w:ascii="Arial" w:hAnsi="Arial" w:cs="Arial"/>
          <w:bCs/>
        </w:rPr>
        <w:t xml:space="preserve"> six</w:t>
      </w:r>
      <w:r w:rsidR="008D71D6" w:rsidRPr="002B1B60">
        <w:rPr>
          <w:rFonts w:ascii="Arial" w:hAnsi="Arial" w:cs="Arial"/>
          <w:bCs/>
        </w:rPr>
        <w:t xml:space="preserve"> </w:t>
      </w:r>
      <w:r w:rsidR="00495ED3" w:rsidRPr="002B1B60">
        <w:rPr>
          <w:rFonts w:ascii="Arial" w:hAnsi="Arial" w:cs="Arial"/>
          <w:bCs/>
        </w:rPr>
        <w:t>consecutive months</w:t>
      </w:r>
      <w:r w:rsidR="006A2618" w:rsidRPr="002B1B60">
        <w:rPr>
          <w:rFonts w:ascii="Arial" w:hAnsi="Arial" w:cs="Arial"/>
          <w:bCs/>
        </w:rPr>
        <w:t>,</w:t>
      </w:r>
      <w:r w:rsidRPr="002B1B60">
        <w:rPr>
          <w:rFonts w:ascii="Arial" w:hAnsi="Arial" w:cs="Arial"/>
          <w:bCs/>
        </w:rPr>
        <w:t xml:space="preserve"> determined </w:t>
      </w:r>
      <w:r w:rsidR="006A2618" w:rsidRPr="002B1B60">
        <w:rPr>
          <w:rFonts w:ascii="Arial" w:hAnsi="Arial" w:cs="Arial"/>
          <w:bCs/>
        </w:rPr>
        <w:t>in accordance with</w:t>
      </w:r>
      <w:r w:rsidRPr="002B1B60">
        <w:rPr>
          <w:rFonts w:ascii="Arial" w:hAnsi="Arial" w:cs="Arial"/>
          <w:bCs/>
        </w:rPr>
        <w:t xml:space="preserve"> the ECQ monthly enrolment data</w:t>
      </w:r>
      <w:r w:rsidR="008A6E83" w:rsidRPr="002B1B60">
        <w:rPr>
          <w:rFonts w:ascii="Arial" w:hAnsi="Arial" w:cs="Arial"/>
          <w:bCs/>
        </w:rPr>
        <w:t xml:space="preserve"> (the high enrolment supplement criteria)</w:t>
      </w:r>
      <w:r w:rsidR="008D71D6" w:rsidRPr="002B1B60">
        <w:rPr>
          <w:rFonts w:ascii="Arial" w:hAnsi="Arial" w:cs="Arial"/>
          <w:bCs/>
        </w:rPr>
        <w:t>.</w:t>
      </w:r>
      <w:r w:rsidR="009D780D" w:rsidRPr="002B1B60">
        <w:rPr>
          <w:rFonts w:ascii="Arial" w:hAnsi="Arial" w:cs="Arial"/>
          <w:bCs/>
        </w:rPr>
        <w:t xml:space="preserve"> </w:t>
      </w:r>
    </w:p>
    <w:p w14:paraId="1ECBA713" w14:textId="4B792D71" w:rsidR="009D780D" w:rsidRDefault="008A6E83" w:rsidP="008A6E83">
      <w:pPr>
        <w:spacing w:before="200" w:after="200" w:line="276" w:lineRule="auto"/>
        <w:jc w:val="both"/>
        <w:rPr>
          <w:rFonts w:ascii="Arial" w:hAnsi="Arial" w:cs="Arial"/>
          <w:bCs/>
        </w:rPr>
      </w:pPr>
      <w:r w:rsidRPr="002B1B60">
        <w:rPr>
          <w:rFonts w:ascii="Arial" w:hAnsi="Arial" w:cs="Arial"/>
          <w:bCs/>
        </w:rPr>
        <w:t xml:space="preserve">ECA </w:t>
      </w:r>
      <w:proofErr w:type="gramStart"/>
      <w:r w:rsidRPr="002B1B60">
        <w:rPr>
          <w:rFonts w:ascii="Arial" w:hAnsi="Arial" w:cs="Arial"/>
          <w:bCs/>
        </w:rPr>
        <w:t>is paid</w:t>
      </w:r>
      <w:proofErr w:type="gramEnd"/>
      <w:r w:rsidRPr="002B1B60">
        <w:rPr>
          <w:rFonts w:ascii="Arial" w:hAnsi="Arial" w:cs="Arial"/>
          <w:bCs/>
        </w:rPr>
        <w:t xml:space="preserve"> in two instalments annually – in July and January</w:t>
      </w:r>
      <w:r w:rsidR="00C03086" w:rsidRPr="002B1B60">
        <w:rPr>
          <w:rFonts w:ascii="Arial" w:hAnsi="Arial" w:cs="Arial"/>
          <w:bCs/>
        </w:rPr>
        <w:t xml:space="preserve">. </w:t>
      </w:r>
      <w:r w:rsidRPr="002B1B60">
        <w:rPr>
          <w:rFonts w:ascii="Arial" w:hAnsi="Arial" w:cs="Arial"/>
          <w:bCs/>
        </w:rPr>
        <w:t>Members whose electorates have met the high enrolment supplement criteria in the preceding 6 months will receive a pro-rata payment of the additional funding ($1250) in their half yearly instalment</w:t>
      </w:r>
      <w:r w:rsidR="00C03086" w:rsidRPr="002B1B60">
        <w:rPr>
          <w:rFonts w:ascii="Arial" w:hAnsi="Arial" w:cs="Arial"/>
          <w:bCs/>
        </w:rPr>
        <w:t>.</w:t>
      </w:r>
      <w:r w:rsidR="00C03086">
        <w:rPr>
          <w:rFonts w:ascii="Arial" w:hAnsi="Arial" w:cs="Arial"/>
          <w:bCs/>
        </w:rPr>
        <w:t xml:space="preserve"> </w:t>
      </w:r>
    </w:p>
    <w:p w14:paraId="0C1F4228" w14:textId="15393BF3" w:rsidR="00826AB8" w:rsidRPr="00EB0A40" w:rsidRDefault="00826AB8" w:rsidP="00797349">
      <w:pPr>
        <w:pStyle w:val="Heading1"/>
        <w:spacing w:after="240"/>
        <w:rPr>
          <w:rFonts w:ascii="Arial" w:hAnsi="Arial" w:cs="Arial"/>
        </w:rPr>
      </w:pPr>
      <w:r w:rsidRPr="00EB0A40">
        <w:rPr>
          <w:rFonts w:ascii="Arial" w:hAnsi="Arial" w:cs="Arial"/>
        </w:rPr>
        <w:t xml:space="preserve">General </w:t>
      </w:r>
      <w:r w:rsidR="00EB0A40">
        <w:rPr>
          <w:rFonts w:ascii="Arial" w:hAnsi="Arial" w:cs="Arial"/>
        </w:rPr>
        <w:t>T</w:t>
      </w:r>
      <w:r w:rsidRPr="00EB0A40">
        <w:rPr>
          <w:rFonts w:ascii="Arial" w:hAnsi="Arial" w:cs="Arial"/>
        </w:rPr>
        <w:t xml:space="preserve">ravel </w:t>
      </w:r>
      <w:r w:rsidR="00EB0A40">
        <w:rPr>
          <w:rFonts w:ascii="Arial" w:hAnsi="Arial" w:cs="Arial"/>
        </w:rPr>
        <w:t>E</w:t>
      </w:r>
      <w:r w:rsidRPr="00EB0A40">
        <w:rPr>
          <w:rFonts w:ascii="Arial" w:hAnsi="Arial" w:cs="Arial"/>
        </w:rPr>
        <w:t xml:space="preserve">ntitlement </w:t>
      </w:r>
    </w:p>
    <w:p w14:paraId="5CBA95FC" w14:textId="77777777" w:rsidR="00785321" w:rsidRPr="00F828CA" w:rsidRDefault="00785321" w:rsidP="00E92191">
      <w:pPr>
        <w:spacing w:before="200" w:after="120" w:line="276" w:lineRule="auto"/>
        <w:jc w:val="both"/>
        <w:rPr>
          <w:rFonts w:ascii="Arial" w:eastAsia="Calibri" w:hAnsi="Arial" w:cs="Arial"/>
          <w:bCs/>
        </w:rPr>
      </w:pPr>
      <w:r w:rsidRPr="00F828CA">
        <w:rPr>
          <w:rFonts w:ascii="Arial" w:eastAsia="Calibri" w:hAnsi="Arial" w:cs="Arial"/>
          <w:bCs/>
        </w:rPr>
        <w:t xml:space="preserve">The General Travel Entitlement </w:t>
      </w:r>
      <w:r>
        <w:rPr>
          <w:rFonts w:ascii="Arial" w:eastAsia="Calibri" w:hAnsi="Arial" w:cs="Arial"/>
          <w:bCs/>
        </w:rPr>
        <w:t xml:space="preserve">(GTE) </w:t>
      </w:r>
      <w:r w:rsidRPr="00F828CA">
        <w:rPr>
          <w:rFonts w:ascii="Arial" w:eastAsia="Calibri" w:hAnsi="Arial" w:cs="Arial"/>
          <w:bCs/>
        </w:rPr>
        <w:t xml:space="preserve">consists of three components: </w:t>
      </w:r>
    </w:p>
    <w:p w14:paraId="7D18BC0F" w14:textId="51C820B3" w:rsidR="00785321" w:rsidRDefault="00785321" w:rsidP="00E92191">
      <w:pPr>
        <w:pStyle w:val="ListParagraph"/>
        <w:numPr>
          <w:ilvl w:val="0"/>
          <w:numId w:val="80"/>
        </w:numPr>
        <w:spacing w:before="120" w:after="120" w:line="276" w:lineRule="auto"/>
        <w:ind w:left="714" w:hanging="357"/>
        <w:contextualSpacing w:val="0"/>
        <w:jc w:val="both"/>
        <w:rPr>
          <w:rFonts w:ascii="Arial" w:hAnsi="Arial" w:cs="Arial"/>
        </w:rPr>
      </w:pPr>
      <w:r w:rsidRPr="000D7846">
        <w:rPr>
          <w:rFonts w:ascii="Arial" w:hAnsi="Arial" w:cs="Arial"/>
          <w:b/>
          <w:bCs/>
        </w:rPr>
        <w:t>Motor Vehicle Allowance</w:t>
      </w:r>
      <w:r>
        <w:rPr>
          <w:rFonts w:ascii="Arial" w:hAnsi="Arial" w:cs="Arial"/>
        </w:rPr>
        <w:t xml:space="preserve"> (MVA) - covers expenditure incurred in acquiring and maintaining a member’s vehicle.</w:t>
      </w:r>
    </w:p>
    <w:p w14:paraId="38F391A6" w14:textId="2CC2E6E1" w:rsidR="00785321" w:rsidRPr="0097211D" w:rsidRDefault="00785321" w:rsidP="00E92191">
      <w:pPr>
        <w:pStyle w:val="ListParagraph"/>
        <w:numPr>
          <w:ilvl w:val="0"/>
          <w:numId w:val="80"/>
        </w:numPr>
        <w:spacing w:before="120" w:after="120" w:line="276" w:lineRule="auto"/>
        <w:ind w:left="714" w:hanging="357"/>
        <w:contextualSpacing w:val="0"/>
        <w:jc w:val="both"/>
        <w:rPr>
          <w:rFonts w:ascii="Arial" w:hAnsi="Arial" w:cs="Arial"/>
          <w:u w:val="single"/>
        </w:rPr>
      </w:pPr>
      <w:r w:rsidRPr="000D7846">
        <w:rPr>
          <w:rFonts w:ascii="Arial" w:hAnsi="Arial" w:cs="Arial"/>
          <w:b/>
          <w:bCs/>
        </w:rPr>
        <w:lastRenderedPageBreak/>
        <w:t>General Travel Allocation</w:t>
      </w:r>
      <w:r>
        <w:rPr>
          <w:rFonts w:ascii="Arial" w:hAnsi="Arial" w:cs="Arial"/>
        </w:rPr>
        <w:t xml:space="preserve"> (GTA) - covers a range of travel expenses incurred by members when required to travel for the primary purpose of conducting parliamentary business.</w:t>
      </w:r>
    </w:p>
    <w:p w14:paraId="73274D11" w14:textId="77777777" w:rsidR="00785321" w:rsidRDefault="00785321" w:rsidP="00EB0A40">
      <w:pPr>
        <w:pStyle w:val="ListParagraph"/>
        <w:numPr>
          <w:ilvl w:val="0"/>
          <w:numId w:val="80"/>
        </w:numPr>
        <w:spacing w:after="200" w:line="276" w:lineRule="auto"/>
        <w:jc w:val="both"/>
        <w:rPr>
          <w:rFonts w:ascii="Arial" w:hAnsi="Arial" w:cs="Arial"/>
        </w:rPr>
      </w:pPr>
      <w:r w:rsidRPr="000D7846">
        <w:rPr>
          <w:rFonts w:ascii="Arial" w:hAnsi="Arial" w:cs="Arial"/>
          <w:b/>
          <w:bCs/>
        </w:rPr>
        <w:t xml:space="preserve">Air Warrant </w:t>
      </w:r>
      <w:r>
        <w:rPr>
          <w:rFonts w:ascii="Arial" w:hAnsi="Arial" w:cs="Arial"/>
          <w:b/>
          <w:bCs/>
        </w:rPr>
        <w:t xml:space="preserve">(Alternate) </w:t>
      </w:r>
      <w:r w:rsidRPr="000D7846">
        <w:rPr>
          <w:rFonts w:ascii="Arial" w:hAnsi="Arial" w:cs="Arial"/>
          <w:b/>
          <w:bCs/>
        </w:rPr>
        <w:t xml:space="preserve">travel </w:t>
      </w:r>
      <w:r>
        <w:rPr>
          <w:rFonts w:ascii="Arial" w:hAnsi="Arial" w:cs="Arial"/>
        </w:rPr>
        <w:t>-</w:t>
      </w:r>
      <w:r w:rsidRPr="00DC053D">
        <w:rPr>
          <w:rFonts w:ascii="Arial" w:hAnsi="Arial" w:cs="Arial"/>
        </w:rPr>
        <w:t xml:space="preserve"> facilitate</w:t>
      </w:r>
      <w:r>
        <w:rPr>
          <w:rFonts w:ascii="Arial" w:hAnsi="Arial" w:cs="Arial"/>
        </w:rPr>
        <w:t xml:space="preserve">s travel from certain regional electorates to/from Brisbane to conduct parliamentary business. </w:t>
      </w:r>
    </w:p>
    <w:p w14:paraId="59923E62" w14:textId="52A7AC07" w:rsidR="00DB39EB" w:rsidRDefault="00DB39EB" w:rsidP="005D18AC">
      <w:pPr>
        <w:spacing w:before="200" w:after="120" w:line="276" w:lineRule="auto"/>
        <w:jc w:val="both"/>
        <w:rPr>
          <w:rFonts w:ascii="Arial" w:hAnsi="Arial" w:cs="Arial"/>
        </w:rPr>
      </w:pPr>
      <w:r w:rsidRPr="00946396">
        <w:rPr>
          <w:rFonts w:ascii="Arial" w:hAnsi="Arial" w:cs="Arial"/>
        </w:rPr>
        <w:t xml:space="preserve">On </w:t>
      </w:r>
      <w:r w:rsidR="004C1891">
        <w:rPr>
          <w:rFonts w:ascii="Arial" w:hAnsi="Arial" w:cs="Arial"/>
        </w:rPr>
        <w:t>28</w:t>
      </w:r>
      <w:r w:rsidRPr="00946396">
        <w:rPr>
          <w:rFonts w:ascii="Arial" w:hAnsi="Arial" w:cs="Arial"/>
        </w:rPr>
        <w:t xml:space="preserve"> September </w:t>
      </w:r>
      <w:r w:rsidRPr="005D18AC">
        <w:rPr>
          <w:rFonts w:ascii="Arial" w:eastAsia="Calibri" w:hAnsi="Arial" w:cs="Arial"/>
          <w:bCs/>
        </w:rPr>
        <w:t>2021</w:t>
      </w:r>
      <w:r w:rsidRPr="00946396">
        <w:rPr>
          <w:rFonts w:ascii="Arial" w:hAnsi="Arial" w:cs="Arial"/>
        </w:rPr>
        <w:t>, t</w:t>
      </w:r>
      <w:r w:rsidR="006E5E81" w:rsidRPr="00946396">
        <w:rPr>
          <w:rFonts w:ascii="Arial" w:hAnsi="Arial" w:cs="Arial"/>
        </w:rPr>
        <w:t>he</w:t>
      </w:r>
      <w:r w:rsidR="00785321" w:rsidRPr="00946396">
        <w:rPr>
          <w:rFonts w:ascii="Arial" w:hAnsi="Arial" w:cs="Arial"/>
        </w:rPr>
        <w:t xml:space="preserve"> Clerk </w:t>
      </w:r>
      <w:r w:rsidR="004E4D14" w:rsidRPr="00946396">
        <w:rPr>
          <w:rFonts w:ascii="Arial" w:hAnsi="Arial" w:cs="Arial"/>
        </w:rPr>
        <w:t xml:space="preserve">tabled </w:t>
      </w:r>
      <w:r w:rsidR="00B425BF" w:rsidRPr="00946396">
        <w:rPr>
          <w:rFonts w:ascii="Arial" w:hAnsi="Arial" w:cs="Arial"/>
        </w:rPr>
        <w:t>t</w:t>
      </w:r>
      <w:r w:rsidRPr="00946396">
        <w:rPr>
          <w:rFonts w:ascii="Arial" w:hAnsi="Arial" w:cs="Arial"/>
        </w:rPr>
        <w:t xml:space="preserve">he: </w:t>
      </w:r>
    </w:p>
    <w:p w14:paraId="3D6F65D0" w14:textId="777433B8" w:rsidR="00B425BF" w:rsidRDefault="32A199DD" w:rsidP="005D18AC">
      <w:pPr>
        <w:pStyle w:val="ListParagraph"/>
        <w:numPr>
          <w:ilvl w:val="0"/>
          <w:numId w:val="107"/>
        </w:numPr>
        <w:spacing w:before="120" w:after="120" w:line="276" w:lineRule="auto"/>
        <w:ind w:left="714" w:hanging="357"/>
        <w:contextualSpacing w:val="0"/>
        <w:jc w:val="both"/>
      </w:pPr>
      <w:r w:rsidRPr="00A77BF9">
        <w:rPr>
          <w:rFonts w:ascii="Arial" w:hAnsi="Arial" w:cs="Arial"/>
          <w:i/>
          <w:iCs/>
        </w:rPr>
        <w:t xml:space="preserve">Annual Report of General Travel Allocation </w:t>
      </w:r>
      <w:hyperlink r:id="rId16">
        <w:r w:rsidRPr="00A77BF9">
          <w:rPr>
            <w:rFonts w:ascii="Arial" w:hAnsi="Arial" w:cs="Arial"/>
            <w:i/>
            <w:iCs/>
          </w:rPr>
          <w:t>Expenditure by Members of the Legislative Assembly for the Period 1 July 2020 to 30 June 2021</w:t>
        </w:r>
      </w:hyperlink>
      <w:r w:rsidR="00B466CC">
        <w:rPr>
          <w:rFonts w:ascii="Arial" w:hAnsi="Arial" w:cs="Arial"/>
          <w:i/>
          <w:iCs/>
        </w:rPr>
        <w:t xml:space="preserve"> </w:t>
      </w:r>
      <w:r w:rsidR="00B466CC">
        <w:rPr>
          <w:rFonts w:ascii="Arial" w:hAnsi="Arial" w:cs="Arial"/>
        </w:rPr>
        <w:t xml:space="preserve">(Annual Report of GTA Expenditure) </w:t>
      </w:r>
    </w:p>
    <w:p w14:paraId="7DDB7BDC" w14:textId="064FDA7B" w:rsidR="00B425BF" w:rsidRPr="00A974E3" w:rsidRDefault="32A199DD" w:rsidP="00EB0A40">
      <w:pPr>
        <w:pStyle w:val="ListParagraph"/>
        <w:numPr>
          <w:ilvl w:val="0"/>
          <w:numId w:val="107"/>
        </w:numPr>
        <w:spacing w:after="200" w:line="276" w:lineRule="auto"/>
        <w:jc w:val="both"/>
        <w:rPr>
          <w:rFonts w:ascii="Arial" w:hAnsi="Arial" w:cs="Arial"/>
        </w:rPr>
      </w:pPr>
      <w:r w:rsidRPr="00A77BF9">
        <w:rPr>
          <w:rFonts w:ascii="Arial" w:hAnsi="Arial" w:cs="Arial"/>
          <w:i/>
          <w:iCs/>
        </w:rPr>
        <w:t xml:space="preserve">Annual </w:t>
      </w:r>
      <w:hyperlink r:id="rId17">
        <w:r w:rsidRPr="00A77BF9">
          <w:rPr>
            <w:rFonts w:ascii="Arial" w:hAnsi="Arial" w:cs="Arial"/>
            <w:i/>
            <w:iCs/>
          </w:rPr>
          <w:t>Report of Air Warrant and Alternate Travel Expenditure by Members of the Legislative Assembly for the Period 1 July 2020 to 30 June 2021</w:t>
        </w:r>
      </w:hyperlink>
    </w:p>
    <w:p w14:paraId="2EBBB5E0" w14:textId="6403F548" w:rsidR="000139DB" w:rsidRDefault="000139DB" w:rsidP="00EB0A40">
      <w:pPr>
        <w:pStyle w:val="Subtitle"/>
        <w:keepNext/>
        <w:keepLines/>
        <w:spacing w:after="160" w:line="256" w:lineRule="auto"/>
        <w:jc w:val="both"/>
        <w:rPr>
          <w:rFonts w:ascii="Arial" w:hAnsi="Arial" w:cs="Arial"/>
          <w:sz w:val="22"/>
          <w:szCs w:val="22"/>
        </w:rPr>
      </w:pPr>
      <w:r>
        <w:rPr>
          <w:rFonts w:ascii="Arial" w:hAnsi="Arial" w:cs="Arial"/>
          <w:sz w:val="22"/>
          <w:szCs w:val="22"/>
        </w:rPr>
        <w:t xml:space="preserve">Motor Vehicle Allowance </w:t>
      </w:r>
    </w:p>
    <w:p w14:paraId="45D41BC3" w14:textId="11DAD726" w:rsidR="000139DB" w:rsidRDefault="000139DB" w:rsidP="005D18AC">
      <w:pPr>
        <w:spacing w:before="200" w:after="200" w:line="276" w:lineRule="auto"/>
        <w:jc w:val="both"/>
        <w:rPr>
          <w:rFonts w:ascii="Arial" w:eastAsia="Calibri" w:hAnsi="Arial" w:cs="Arial"/>
        </w:rPr>
      </w:pPr>
      <w:r>
        <w:rPr>
          <w:rFonts w:ascii="Arial" w:eastAsia="Calibri" w:hAnsi="Arial" w:cs="Arial"/>
        </w:rPr>
        <w:t xml:space="preserve">The MVA </w:t>
      </w:r>
      <w:proofErr w:type="gramStart"/>
      <w:r>
        <w:rPr>
          <w:rFonts w:ascii="Arial" w:eastAsia="Calibri" w:hAnsi="Arial" w:cs="Arial"/>
        </w:rPr>
        <w:t>is paid</w:t>
      </w:r>
      <w:proofErr w:type="gramEnd"/>
      <w:r>
        <w:rPr>
          <w:rFonts w:ascii="Arial" w:eastAsia="Calibri" w:hAnsi="Arial" w:cs="Arial"/>
        </w:rPr>
        <w:t xml:space="preserve"> to </w:t>
      </w:r>
      <w:r w:rsidR="00684B98">
        <w:rPr>
          <w:rFonts w:ascii="Arial" w:eastAsia="Calibri" w:hAnsi="Arial" w:cs="Arial"/>
        </w:rPr>
        <w:t>m</w:t>
      </w:r>
      <w:r>
        <w:rPr>
          <w:rFonts w:ascii="Arial" w:eastAsia="Calibri" w:hAnsi="Arial" w:cs="Arial"/>
        </w:rPr>
        <w:t>embers in advance on a quarterly basis</w:t>
      </w:r>
      <w:r w:rsidRPr="00ED0A5E">
        <w:rPr>
          <w:rFonts w:ascii="Arial" w:eastAsia="Calibri" w:hAnsi="Arial" w:cs="Arial"/>
        </w:rPr>
        <w:t xml:space="preserve"> </w:t>
      </w:r>
      <w:r>
        <w:rPr>
          <w:rFonts w:ascii="Arial" w:eastAsia="Calibri" w:hAnsi="Arial" w:cs="Arial"/>
        </w:rPr>
        <w:t xml:space="preserve">and there is no carry over to the following year. </w:t>
      </w:r>
      <w:r w:rsidRPr="00DF3DB2">
        <w:rPr>
          <w:rFonts w:ascii="Arial" w:eastAsia="Calibri" w:hAnsi="Arial" w:cs="Arial"/>
        </w:rPr>
        <w:t>A motor vehicle purchased or leased with the assistance of th</w:t>
      </w:r>
      <w:r w:rsidR="00A974E3">
        <w:rPr>
          <w:rFonts w:ascii="Arial" w:eastAsia="Calibri" w:hAnsi="Arial" w:cs="Arial"/>
        </w:rPr>
        <w:t>e</w:t>
      </w:r>
      <w:r w:rsidRPr="00DF3DB2">
        <w:rPr>
          <w:rFonts w:ascii="Arial" w:eastAsia="Calibri" w:hAnsi="Arial" w:cs="Arial"/>
        </w:rPr>
        <w:t xml:space="preserve"> allowance is the property of the </w:t>
      </w:r>
      <w:r w:rsidR="00684B98">
        <w:rPr>
          <w:rFonts w:ascii="Arial" w:eastAsia="Calibri" w:hAnsi="Arial" w:cs="Arial"/>
        </w:rPr>
        <w:t>m</w:t>
      </w:r>
      <w:r w:rsidRPr="00DF3DB2">
        <w:rPr>
          <w:rFonts w:ascii="Arial" w:eastAsia="Calibri" w:hAnsi="Arial" w:cs="Arial"/>
        </w:rPr>
        <w:t xml:space="preserve">ember. </w:t>
      </w:r>
      <w:r>
        <w:rPr>
          <w:rFonts w:ascii="Arial" w:eastAsia="Calibri" w:hAnsi="Arial" w:cs="Arial"/>
        </w:rPr>
        <w:t xml:space="preserve">The allowance is </w:t>
      </w:r>
      <w:r w:rsidR="00A974E3">
        <w:rPr>
          <w:rFonts w:ascii="Arial" w:eastAsia="Calibri" w:hAnsi="Arial" w:cs="Arial"/>
        </w:rPr>
        <w:t xml:space="preserve">also </w:t>
      </w:r>
      <w:r>
        <w:rPr>
          <w:rFonts w:ascii="Arial" w:eastAsia="Calibri" w:hAnsi="Arial" w:cs="Arial"/>
        </w:rPr>
        <w:t xml:space="preserve">subject to PAYG income tax and </w:t>
      </w:r>
      <w:r w:rsidR="00684B98">
        <w:rPr>
          <w:rFonts w:ascii="Arial" w:eastAsia="Calibri" w:hAnsi="Arial" w:cs="Arial"/>
        </w:rPr>
        <w:t>m</w:t>
      </w:r>
      <w:r>
        <w:rPr>
          <w:rFonts w:ascii="Arial" w:eastAsia="Calibri" w:hAnsi="Arial" w:cs="Arial"/>
        </w:rPr>
        <w:t xml:space="preserve">embers </w:t>
      </w:r>
      <w:proofErr w:type="gramStart"/>
      <w:r>
        <w:rPr>
          <w:rFonts w:ascii="Arial" w:eastAsia="Calibri" w:hAnsi="Arial" w:cs="Arial"/>
        </w:rPr>
        <w:t>are required</w:t>
      </w:r>
      <w:proofErr w:type="gramEnd"/>
      <w:r>
        <w:rPr>
          <w:rFonts w:ascii="Arial" w:eastAsia="Calibri" w:hAnsi="Arial" w:cs="Arial"/>
        </w:rPr>
        <w:t xml:space="preserve"> to comply with Australian Taxation Office requirements </w:t>
      </w:r>
      <w:r w:rsidR="00A974E3">
        <w:rPr>
          <w:rFonts w:ascii="Arial" w:eastAsia="Calibri" w:hAnsi="Arial" w:cs="Arial"/>
        </w:rPr>
        <w:t>for</w:t>
      </w:r>
      <w:r>
        <w:rPr>
          <w:rFonts w:ascii="Arial" w:eastAsia="Calibri" w:hAnsi="Arial" w:cs="Arial"/>
        </w:rPr>
        <w:t xml:space="preserve"> motor vehicle allowances. </w:t>
      </w:r>
    </w:p>
    <w:p w14:paraId="7539EA4B" w14:textId="77777777" w:rsidR="000139DB" w:rsidRDefault="000139DB" w:rsidP="008125D1">
      <w:pPr>
        <w:spacing w:before="200" w:after="200" w:line="276" w:lineRule="auto"/>
        <w:jc w:val="both"/>
        <w:rPr>
          <w:rFonts w:ascii="Arial" w:eastAsia="Calibri" w:hAnsi="Arial" w:cs="Arial"/>
        </w:rPr>
      </w:pPr>
      <w:r>
        <w:rPr>
          <w:rFonts w:ascii="Arial" w:eastAsia="Calibri" w:hAnsi="Arial" w:cs="Arial"/>
        </w:rPr>
        <w:t xml:space="preserve">The MVA is based on the geographic area of electorates as follows: </w:t>
      </w:r>
    </w:p>
    <w:p w14:paraId="49DE3303" w14:textId="77777777" w:rsidR="000139DB" w:rsidRPr="003128AA" w:rsidRDefault="000139DB" w:rsidP="00A974E3">
      <w:pPr>
        <w:spacing w:before="200" w:after="200" w:line="276" w:lineRule="auto"/>
        <w:jc w:val="both"/>
        <w:rPr>
          <w:rFonts w:ascii="Arial" w:eastAsia="Calibri" w:hAnsi="Arial" w:cs="Arial"/>
          <w:u w:val="single"/>
        </w:rPr>
      </w:pPr>
      <w:r w:rsidRPr="003128AA">
        <w:rPr>
          <w:rFonts w:ascii="Arial" w:eastAsia="Calibri" w:hAnsi="Arial" w:cs="Arial"/>
          <w:u w:val="single"/>
        </w:rPr>
        <w:t>Table 3: Motor Vehicle Allowance</w:t>
      </w:r>
    </w:p>
    <w:tbl>
      <w:tblPr>
        <w:tblStyle w:val="TableGrid"/>
        <w:tblW w:w="0" w:type="auto"/>
        <w:jc w:val="center"/>
        <w:tblInd w:w="0" w:type="dxa"/>
        <w:tblLook w:val="04A0" w:firstRow="1" w:lastRow="0" w:firstColumn="1" w:lastColumn="0" w:noHBand="0" w:noVBand="1"/>
      </w:tblPr>
      <w:tblGrid>
        <w:gridCol w:w="2122"/>
        <w:gridCol w:w="3118"/>
        <w:gridCol w:w="3119"/>
      </w:tblGrid>
      <w:tr w:rsidR="000139DB" w:rsidRPr="009848D4" w14:paraId="5E337B3D" w14:textId="77777777" w:rsidTr="00C965DA">
        <w:trPr>
          <w:jc w:val="center"/>
        </w:trPr>
        <w:tc>
          <w:tcPr>
            <w:tcW w:w="2122"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6C57C5FD" w14:textId="77777777" w:rsidR="000139DB" w:rsidRPr="009848D4" w:rsidRDefault="000139DB" w:rsidP="00C965DA">
            <w:pPr>
              <w:keepNext/>
              <w:keepLines/>
              <w:rPr>
                <w:rFonts w:ascii="Arial" w:eastAsia="Calibri" w:hAnsi="Arial" w:cs="Arial"/>
                <w:b/>
                <w:bCs/>
              </w:rPr>
            </w:pPr>
            <w:r w:rsidRPr="009848D4">
              <w:rPr>
                <w:rFonts w:ascii="Arial" w:eastAsia="Calibri" w:hAnsi="Arial" w:cs="Arial"/>
                <w:b/>
                <w:bCs/>
              </w:rPr>
              <w:t>Band</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7E537B2F" w14:textId="77777777" w:rsidR="000139DB" w:rsidRPr="009848D4" w:rsidRDefault="000139DB" w:rsidP="00FE399C">
            <w:pPr>
              <w:keepNext/>
              <w:keepLines/>
              <w:jc w:val="center"/>
              <w:rPr>
                <w:rFonts w:ascii="Arial" w:eastAsia="Calibri" w:hAnsi="Arial" w:cs="Arial"/>
                <w:b/>
                <w:bCs/>
              </w:rPr>
            </w:pPr>
            <w:r w:rsidRPr="009848D4">
              <w:rPr>
                <w:rFonts w:ascii="Arial" w:eastAsia="Calibri" w:hAnsi="Arial" w:cs="Arial"/>
                <w:b/>
                <w:bCs/>
              </w:rPr>
              <w:t>MVA amount</w:t>
            </w:r>
          </w:p>
        </w:tc>
        <w:tc>
          <w:tcPr>
            <w:tcW w:w="3119"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63A9B913" w14:textId="77777777" w:rsidR="000139DB" w:rsidRPr="009848D4" w:rsidRDefault="000139DB" w:rsidP="00C965DA">
            <w:pPr>
              <w:keepNext/>
              <w:keepLines/>
              <w:rPr>
                <w:rFonts w:ascii="Arial" w:eastAsia="Calibri" w:hAnsi="Arial" w:cs="Arial"/>
                <w:b/>
                <w:bCs/>
              </w:rPr>
            </w:pPr>
            <w:r w:rsidRPr="009848D4">
              <w:rPr>
                <w:rFonts w:ascii="Arial" w:eastAsia="Calibri" w:hAnsi="Arial" w:cs="Arial"/>
                <w:b/>
                <w:bCs/>
              </w:rPr>
              <w:t xml:space="preserve">Band range </w:t>
            </w:r>
          </w:p>
          <w:p w14:paraId="012E099D" w14:textId="77777777" w:rsidR="000139DB" w:rsidRPr="009848D4" w:rsidRDefault="000139DB" w:rsidP="00C965DA">
            <w:pPr>
              <w:keepNext/>
              <w:keepLines/>
              <w:rPr>
                <w:rFonts w:ascii="Arial" w:eastAsia="Calibri" w:hAnsi="Arial" w:cs="Arial"/>
                <w:b/>
                <w:bCs/>
              </w:rPr>
            </w:pPr>
            <w:r w:rsidRPr="009848D4">
              <w:rPr>
                <w:rFonts w:ascii="Arial" w:eastAsia="Calibri" w:hAnsi="Arial" w:cs="Arial"/>
                <w:b/>
                <w:bCs/>
              </w:rPr>
              <w:t>Electorate km2</w:t>
            </w:r>
          </w:p>
        </w:tc>
      </w:tr>
      <w:tr w:rsidR="000139DB" w:rsidRPr="009848D4" w14:paraId="28D552D5" w14:textId="77777777" w:rsidTr="00FE399C">
        <w:trPr>
          <w:trHeight w:val="319"/>
          <w:jc w:val="center"/>
        </w:trPr>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57" w:type="dxa"/>
              <w:bottom w:w="0" w:type="dxa"/>
              <w:right w:w="57" w:type="dxa"/>
            </w:tcMar>
            <w:vAlign w:val="center"/>
            <w:hideMark/>
          </w:tcPr>
          <w:p w14:paraId="780BBDA2" w14:textId="77777777" w:rsidR="000139DB" w:rsidRPr="009848D4" w:rsidRDefault="000139DB" w:rsidP="00C965DA">
            <w:pPr>
              <w:keepNext/>
              <w:keepLines/>
              <w:rPr>
                <w:rFonts w:ascii="Arial" w:eastAsia="Calibri" w:hAnsi="Arial" w:cs="Arial"/>
              </w:rPr>
            </w:pPr>
            <w:r w:rsidRPr="009848D4">
              <w:rPr>
                <w:rFonts w:ascii="Arial" w:eastAsia="Calibri" w:hAnsi="Arial" w:cs="Arial"/>
              </w:rPr>
              <w:t>Band 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76D96C" w14:textId="77777777" w:rsidR="000139DB" w:rsidRPr="009848D4" w:rsidRDefault="000139DB" w:rsidP="00FE399C">
            <w:pPr>
              <w:keepNext/>
              <w:keepLines/>
              <w:jc w:val="center"/>
              <w:rPr>
                <w:rFonts w:ascii="Arial" w:eastAsia="Calibri" w:hAnsi="Arial" w:cs="Arial"/>
              </w:rPr>
            </w:pPr>
            <w:r w:rsidRPr="009848D4">
              <w:rPr>
                <w:rFonts w:ascii="Arial" w:eastAsia="Calibri" w:hAnsi="Arial" w:cs="Arial"/>
              </w:rPr>
              <w:t>$26,300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8001E3" w14:textId="77777777" w:rsidR="000139DB" w:rsidRPr="009848D4" w:rsidRDefault="000139DB" w:rsidP="00C965DA">
            <w:pPr>
              <w:keepNext/>
              <w:keepLines/>
              <w:rPr>
                <w:rFonts w:ascii="Arial" w:eastAsia="Calibri" w:hAnsi="Arial" w:cs="Arial"/>
              </w:rPr>
            </w:pPr>
            <w:r w:rsidRPr="009848D4">
              <w:rPr>
                <w:rFonts w:ascii="Arial" w:eastAsia="Calibri" w:hAnsi="Arial" w:cs="Arial"/>
              </w:rPr>
              <w:t>0-1000</w:t>
            </w:r>
          </w:p>
        </w:tc>
      </w:tr>
      <w:tr w:rsidR="000139DB" w:rsidRPr="009848D4" w14:paraId="469A9572" w14:textId="77777777" w:rsidTr="00FE399C">
        <w:trPr>
          <w:trHeight w:val="319"/>
          <w:jc w:val="center"/>
        </w:trPr>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57" w:type="dxa"/>
              <w:bottom w:w="0" w:type="dxa"/>
              <w:right w:w="57" w:type="dxa"/>
            </w:tcMar>
            <w:vAlign w:val="center"/>
            <w:hideMark/>
          </w:tcPr>
          <w:p w14:paraId="1AD7887A" w14:textId="77777777" w:rsidR="000139DB" w:rsidRPr="009848D4" w:rsidRDefault="000139DB" w:rsidP="00C965DA">
            <w:pPr>
              <w:keepNext/>
              <w:keepLines/>
              <w:rPr>
                <w:rFonts w:ascii="Arial" w:eastAsia="Calibri" w:hAnsi="Arial" w:cs="Arial"/>
              </w:rPr>
            </w:pPr>
            <w:r w:rsidRPr="009848D4">
              <w:rPr>
                <w:rFonts w:ascii="Arial" w:eastAsia="Calibri" w:hAnsi="Arial" w:cs="Arial"/>
              </w:rPr>
              <w:t>Band 2</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9B74A7" w14:textId="77777777" w:rsidR="000139DB" w:rsidRPr="009848D4" w:rsidRDefault="000139DB" w:rsidP="00FE399C">
            <w:pPr>
              <w:keepNext/>
              <w:keepLines/>
              <w:jc w:val="center"/>
              <w:rPr>
                <w:rFonts w:ascii="Arial" w:eastAsia="Calibri" w:hAnsi="Arial" w:cs="Arial"/>
              </w:rPr>
            </w:pPr>
            <w:r w:rsidRPr="009848D4">
              <w:rPr>
                <w:rFonts w:ascii="Arial" w:eastAsia="Calibri" w:hAnsi="Arial" w:cs="Arial"/>
              </w:rPr>
              <w:t>$33,000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D71DAF" w14:textId="77777777" w:rsidR="000139DB" w:rsidRPr="009848D4" w:rsidRDefault="000139DB" w:rsidP="00C965DA">
            <w:pPr>
              <w:keepNext/>
              <w:keepLines/>
              <w:rPr>
                <w:rFonts w:ascii="Arial" w:eastAsia="Calibri" w:hAnsi="Arial" w:cs="Arial"/>
              </w:rPr>
            </w:pPr>
            <w:r w:rsidRPr="009848D4">
              <w:rPr>
                <w:rFonts w:ascii="Arial" w:eastAsia="Calibri" w:hAnsi="Arial" w:cs="Arial"/>
              </w:rPr>
              <w:t>1001-10,000</w:t>
            </w:r>
          </w:p>
        </w:tc>
      </w:tr>
      <w:tr w:rsidR="000139DB" w:rsidRPr="009848D4" w14:paraId="434E69EC" w14:textId="77777777" w:rsidTr="00FE399C">
        <w:trPr>
          <w:trHeight w:val="319"/>
          <w:jc w:val="center"/>
        </w:trPr>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57" w:type="dxa"/>
              <w:bottom w:w="0" w:type="dxa"/>
              <w:right w:w="57" w:type="dxa"/>
            </w:tcMar>
            <w:vAlign w:val="center"/>
            <w:hideMark/>
          </w:tcPr>
          <w:p w14:paraId="33640C35" w14:textId="77777777" w:rsidR="000139DB" w:rsidRPr="009848D4" w:rsidRDefault="000139DB" w:rsidP="00C965DA">
            <w:pPr>
              <w:keepNext/>
              <w:keepLines/>
              <w:rPr>
                <w:rFonts w:ascii="Arial" w:eastAsia="Calibri" w:hAnsi="Arial" w:cs="Arial"/>
              </w:rPr>
            </w:pPr>
            <w:r w:rsidRPr="009848D4">
              <w:rPr>
                <w:rFonts w:ascii="Arial" w:eastAsia="Calibri" w:hAnsi="Arial" w:cs="Arial"/>
              </w:rPr>
              <w:t xml:space="preserve">Band 3 </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352645" w14:textId="77777777" w:rsidR="000139DB" w:rsidRPr="009848D4" w:rsidRDefault="000139DB" w:rsidP="00FE399C">
            <w:pPr>
              <w:keepNext/>
              <w:keepLines/>
              <w:jc w:val="center"/>
              <w:rPr>
                <w:rFonts w:ascii="Arial" w:eastAsia="Calibri" w:hAnsi="Arial" w:cs="Arial"/>
              </w:rPr>
            </w:pPr>
            <w:r w:rsidRPr="009848D4">
              <w:rPr>
                <w:rFonts w:ascii="Arial" w:eastAsia="Calibri" w:hAnsi="Arial" w:cs="Arial"/>
              </w:rPr>
              <w:t>$43,300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09F6D0" w14:textId="77777777" w:rsidR="000139DB" w:rsidRPr="009848D4" w:rsidRDefault="000139DB" w:rsidP="00C965DA">
            <w:pPr>
              <w:keepNext/>
              <w:keepLines/>
              <w:rPr>
                <w:rFonts w:ascii="Arial" w:eastAsia="Calibri" w:hAnsi="Arial" w:cs="Arial"/>
              </w:rPr>
            </w:pPr>
            <w:r w:rsidRPr="009848D4">
              <w:rPr>
                <w:rFonts w:ascii="Arial" w:eastAsia="Calibri" w:hAnsi="Arial" w:cs="Arial"/>
              </w:rPr>
              <w:t>10,001 and over</w:t>
            </w:r>
          </w:p>
        </w:tc>
      </w:tr>
    </w:tbl>
    <w:p w14:paraId="47C62055" w14:textId="3A26CA36" w:rsidR="00A04584" w:rsidRDefault="00A04584" w:rsidP="000B15BC">
      <w:pPr>
        <w:spacing w:before="200" w:after="200" w:line="276" w:lineRule="auto"/>
        <w:jc w:val="both"/>
        <w:rPr>
          <w:rFonts w:ascii="Arial" w:eastAsia="Calibri" w:hAnsi="Arial" w:cs="Arial"/>
        </w:rPr>
      </w:pPr>
      <w:r>
        <w:rPr>
          <w:rFonts w:ascii="Arial" w:eastAsia="Calibri" w:hAnsi="Arial" w:cs="Arial"/>
        </w:rPr>
        <w:t xml:space="preserve">Under the </w:t>
      </w:r>
      <w:r w:rsidRPr="00D36888">
        <w:rPr>
          <w:rFonts w:ascii="Arial" w:eastAsia="Calibri" w:hAnsi="Arial" w:cs="Arial"/>
          <w:i/>
        </w:rPr>
        <w:t>Members’ Remuneration Handbook,</w:t>
      </w:r>
      <w:r>
        <w:rPr>
          <w:rFonts w:ascii="Arial" w:eastAsia="Calibri" w:hAnsi="Arial" w:cs="Arial"/>
        </w:rPr>
        <w:t xml:space="preserve"> the MVA is not subject to acquittal, reporting or audit requirements. Therefore, there is </w:t>
      </w:r>
      <w:r w:rsidRPr="00FB5008">
        <w:rPr>
          <w:rFonts w:ascii="Arial" w:eastAsia="Calibri" w:hAnsi="Arial" w:cs="Arial"/>
        </w:rPr>
        <w:t>no data is available to enable the Tribunal to assess the quantum of expenditure</w:t>
      </w:r>
      <w:r>
        <w:rPr>
          <w:rFonts w:ascii="Arial" w:eastAsia="Calibri" w:hAnsi="Arial" w:cs="Arial"/>
        </w:rPr>
        <w:t xml:space="preserve">. </w:t>
      </w:r>
    </w:p>
    <w:p w14:paraId="265B17E4" w14:textId="620E214A" w:rsidR="000139DB" w:rsidRDefault="000139DB" w:rsidP="000B15BC">
      <w:pPr>
        <w:spacing w:before="200" w:after="200" w:line="276" w:lineRule="auto"/>
        <w:jc w:val="both"/>
        <w:rPr>
          <w:rFonts w:ascii="Arial" w:eastAsia="Calibri" w:hAnsi="Arial" w:cs="Arial"/>
        </w:rPr>
      </w:pPr>
      <w:r>
        <w:rPr>
          <w:rFonts w:ascii="Arial" w:eastAsia="Calibri" w:hAnsi="Arial" w:cs="Arial"/>
        </w:rPr>
        <w:t>In 2018, the Tribunal increase</w:t>
      </w:r>
      <w:r w:rsidR="00106D77">
        <w:rPr>
          <w:rFonts w:ascii="Arial" w:eastAsia="Calibri" w:hAnsi="Arial" w:cs="Arial"/>
        </w:rPr>
        <w:t>d</w:t>
      </w:r>
      <w:r>
        <w:rPr>
          <w:rFonts w:ascii="Arial" w:eastAsia="Calibri" w:hAnsi="Arial" w:cs="Arial"/>
        </w:rPr>
        <w:t xml:space="preserve"> the MVA by 3% from 1 January 2019</w:t>
      </w:r>
      <w:r w:rsidR="00B04A43">
        <w:rPr>
          <w:rFonts w:ascii="Arial" w:eastAsia="Calibri" w:hAnsi="Arial" w:cs="Arial"/>
        </w:rPr>
        <w:t xml:space="preserve"> and a</w:t>
      </w:r>
      <w:r w:rsidR="004E3FD1">
        <w:rPr>
          <w:rFonts w:ascii="Arial" w:eastAsia="Calibri" w:hAnsi="Arial" w:cs="Arial"/>
        </w:rPr>
        <w:t>t that time</w:t>
      </w:r>
      <w:r w:rsidR="00A04584">
        <w:rPr>
          <w:rFonts w:ascii="Arial" w:eastAsia="Calibri" w:hAnsi="Arial" w:cs="Arial"/>
        </w:rPr>
        <w:t>,</w:t>
      </w:r>
      <w:r w:rsidR="004E3FD1">
        <w:rPr>
          <w:rFonts w:ascii="Arial" w:eastAsia="Calibri" w:hAnsi="Arial" w:cs="Arial"/>
        </w:rPr>
        <w:t xml:space="preserve"> the</w:t>
      </w:r>
      <w:r>
        <w:rPr>
          <w:rFonts w:ascii="Arial" w:eastAsia="Calibri" w:hAnsi="Arial" w:cs="Arial"/>
        </w:rPr>
        <w:t xml:space="preserve"> Tribunal expressed a view that any increase in the MVA should be consistent with CPI changes. </w:t>
      </w:r>
    </w:p>
    <w:p w14:paraId="08388D67" w14:textId="5A2BC90B" w:rsidR="00A04584" w:rsidRDefault="00E91343" w:rsidP="000B15BC">
      <w:pPr>
        <w:spacing w:before="200" w:after="200" w:line="276" w:lineRule="auto"/>
        <w:jc w:val="both"/>
        <w:rPr>
          <w:rFonts w:ascii="Arial" w:eastAsia="Calibri" w:hAnsi="Arial" w:cs="Arial"/>
        </w:rPr>
      </w:pPr>
      <w:proofErr w:type="gramStart"/>
      <w:r>
        <w:rPr>
          <w:rFonts w:ascii="Arial" w:eastAsia="Calibri" w:hAnsi="Arial" w:cs="Arial"/>
        </w:rPr>
        <w:t>In order to</w:t>
      </w:r>
      <w:proofErr w:type="gramEnd"/>
      <w:r w:rsidR="00A04584">
        <w:rPr>
          <w:rFonts w:ascii="Arial" w:eastAsia="Calibri" w:hAnsi="Arial" w:cs="Arial"/>
        </w:rPr>
        <w:t xml:space="preserve"> assess the adequacy of the </w:t>
      </w:r>
      <w:r w:rsidR="00EB6634">
        <w:rPr>
          <w:rFonts w:ascii="Arial" w:eastAsia="Calibri" w:hAnsi="Arial" w:cs="Arial"/>
        </w:rPr>
        <w:t>MVA,</w:t>
      </w:r>
      <w:r w:rsidR="00A04584">
        <w:rPr>
          <w:rFonts w:ascii="Arial" w:eastAsia="Calibri" w:hAnsi="Arial" w:cs="Arial"/>
        </w:rPr>
        <w:t xml:space="preserve"> </w:t>
      </w:r>
      <w:r w:rsidR="00B56B28">
        <w:rPr>
          <w:rFonts w:ascii="Arial" w:eastAsia="Calibri" w:hAnsi="Arial" w:cs="Arial"/>
        </w:rPr>
        <w:t xml:space="preserve">in addition to CPI, the </w:t>
      </w:r>
      <w:r w:rsidR="00A04584" w:rsidRPr="00FB5008">
        <w:rPr>
          <w:rFonts w:ascii="Arial" w:eastAsia="Calibri" w:hAnsi="Arial" w:cs="Arial"/>
        </w:rPr>
        <w:t xml:space="preserve">Tribunal </w:t>
      </w:r>
      <w:r w:rsidR="00A04584">
        <w:rPr>
          <w:rFonts w:ascii="Arial" w:eastAsia="Calibri" w:hAnsi="Arial" w:cs="Arial"/>
        </w:rPr>
        <w:t xml:space="preserve">also </w:t>
      </w:r>
      <w:r w:rsidR="00276271">
        <w:rPr>
          <w:rFonts w:ascii="Arial" w:eastAsia="Calibri" w:hAnsi="Arial" w:cs="Arial"/>
        </w:rPr>
        <w:t>consider</w:t>
      </w:r>
      <w:r w:rsidR="00B56B28">
        <w:rPr>
          <w:rFonts w:ascii="Arial" w:eastAsia="Calibri" w:hAnsi="Arial" w:cs="Arial"/>
        </w:rPr>
        <w:t>ed</w:t>
      </w:r>
      <w:r w:rsidR="00A04584">
        <w:rPr>
          <w:rFonts w:ascii="Arial" w:eastAsia="Calibri" w:hAnsi="Arial" w:cs="Arial"/>
        </w:rPr>
        <w:t xml:space="preserve"> the RACQ’s </w:t>
      </w:r>
      <w:r w:rsidR="00A04584" w:rsidRPr="00961637">
        <w:rPr>
          <w:rFonts w:ascii="Arial" w:eastAsia="Calibri" w:hAnsi="Arial" w:cs="Arial"/>
          <w:i/>
          <w:iCs/>
        </w:rPr>
        <w:t xml:space="preserve">Private Vehicle Expenses </w:t>
      </w:r>
      <w:r w:rsidR="60F27D53" w:rsidRPr="00961637">
        <w:rPr>
          <w:rFonts w:ascii="Arial" w:eastAsia="Calibri" w:hAnsi="Arial" w:cs="Arial"/>
          <w:i/>
          <w:iCs/>
        </w:rPr>
        <w:t>2021</w:t>
      </w:r>
      <w:r w:rsidRPr="00961637">
        <w:rPr>
          <w:vertAlign w:val="superscript"/>
        </w:rPr>
        <w:footnoteReference w:id="8"/>
      </w:r>
      <w:r w:rsidR="00A04584" w:rsidRPr="403321C5">
        <w:rPr>
          <w:rFonts w:ascii="Arial" w:eastAsia="Calibri" w:hAnsi="Arial" w:cs="Arial"/>
        </w:rPr>
        <w:t xml:space="preserve"> </w:t>
      </w:r>
      <w:r w:rsidR="00A04584">
        <w:rPr>
          <w:rFonts w:ascii="Arial" w:eastAsia="Calibri" w:hAnsi="Arial" w:cs="Arial"/>
        </w:rPr>
        <w:t xml:space="preserve">and </w:t>
      </w:r>
      <w:r w:rsidR="5950EB96" w:rsidRPr="1E9BB069">
        <w:rPr>
          <w:rFonts w:ascii="Arial" w:eastAsia="Calibri" w:hAnsi="Arial" w:cs="Arial"/>
        </w:rPr>
        <w:t xml:space="preserve">the </w:t>
      </w:r>
      <w:r w:rsidR="5950EB96" w:rsidRPr="00961637">
        <w:rPr>
          <w:rFonts w:ascii="Arial" w:eastAsia="Calibri" w:hAnsi="Arial" w:cs="Arial"/>
          <w:i/>
          <w:iCs/>
        </w:rPr>
        <w:t>Annual Fuel Price Reports</w:t>
      </w:r>
      <w:r w:rsidR="00A04584" w:rsidRPr="00961637">
        <w:rPr>
          <w:rFonts w:ascii="Arial" w:eastAsia="Calibri" w:hAnsi="Arial" w:cs="Arial"/>
          <w:i/>
          <w:iCs/>
        </w:rPr>
        <w:t xml:space="preserve"> </w:t>
      </w:r>
      <w:r w:rsidR="00EB6634" w:rsidRPr="00961637">
        <w:rPr>
          <w:rFonts w:ascii="Arial" w:eastAsia="Calibri" w:hAnsi="Arial" w:cs="Arial"/>
          <w:i/>
          <w:iCs/>
        </w:rPr>
        <w:t xml:space="preserve">from </w:t>
      </w:r>
      <w:r w:rsidR="00A04584" w:rsidRPr="00961637">
        <w:rPr>
          <w:rFonts w:ascii="Arial" w:eastAsia="Calibri" w:hAnsi="Arial" w:cs="Arial"/>
          <w:i/>
          <w:iCs/>
        </w:rPr>
        <w:t>2017</w:t>
      </w:r>
      <w:r w:rsidR="00EB6634" w:rsidRPr="00961637">
        <w:rPr>
          <w:rFonts w:ascii="Arial" w:eastAsia="Calibri" w:hAnsi="Arial" w:cs="Arial"/>
          <w:i/>
          <w:iCs/>
        </w:rPr>
        <w:t xml:space="preserve"> to </w:t>
      </w:r>
      <w:r w:rsidR="00A04584" w:rsidRPr="00961637">
        <w:rPr>
          <w:rFonts w:ascii="Arial" w:eastAsia="Calibri" w:hAnsi="Arial" w:cs="Arial"/>
          <w:i/>
          <w:iCs/>
        </w:rPr>
        <w:t>2021</w:t>
      </w:r>
      <w:r w:rsidR="00A04584">
        <w:rPr>
          <w:rFonts w:ascii="Arial" w:eastAsia="Calibri" w:hAnsi="Arial" w:cs="Arial"/>
        </w:rPr>
        <w:t>.</w:t>
      </w:r>
      <w:r w:rsidR="00276271">
        <w:rPr>
          <w:rFonts w:ascii="Arial" w:eastAsia="Calibri" w:hAnsi="Arial" w:cs="Arial"/>
        </w:rPr>
        <w:t xml:space="preserve"> </w:t>
      </w:r>
    </w:p>
    <w:p w14:paraId="224EE081" w14:textId="2F865B18" w:rsidR="00785321" w:rsidRPr="00276271" w:rsidRDefault="00C87368" w:rsidP="000B15BC">
      <w:pPr>
        <w:spacing w:before="200" w:after="200" w:line="276" w:lineRule="auto"/>
        <w:jc w:val="both"/>
        <w:rPr>
          <w:rFonts w:ascii="Arial" w:eastAsia="Calibri" w:hAnsi="Arial" w:cs="Arial"/>
        </w:rPr>
      </w:pPr>
      <w:r>
        <w:rPr>
          <w:rFonts w:ascii="Arial" w:eastAsia="Calibri" w:hAnsi="Arial" w:cs="Arial"/>
        </w:rPr>
        <w:t xml:space="preserve">The </w:t>
      </w:r>
      <w:r w:rsidR="00023957">
        <w:rPr>
          <w:rFonts w:ascii="Arial" w:eastAsia="Calibri" w:hAnsi="Arial" w:cs="Arial"/>
        </w:rPr>
        <w:t xml:space="preserve">Tribunal </w:t>
      </w:r>
      <w:r w:rsidR="00E91343">
        <w:rPr>
          <w:rFonts w:ascii="Arial" w:eastAsia="Calibri" w:hAnsi="Arial" w:cs="Arial"/>
        </w:rPr>
        <w:t>resolved</w:t>
      </w:r>
      <w:r w:rsidR="00023957">
        <w:rPr>
          <w:rFonts w:ascii="Arial" w:eastAsia="Calibri" w:hAnsi="Arial" w:cs="Arial"/>
        </w:rPr>
        <w:t xml:space="preserve"> to increase the MVA by 2.9</w:t>
      </w:r>
      <w:r w:rsidR="00023957" w:rsidRPr="24AA8A03">
        <w:rPr>
          <w:rFonts w:ascii="Arial" w:eastAsia="Calibri" w:hAnsi="Arial" w:cs="Arial"/>
        </w:rPr>
        <w:t>%</w:t>
      </w:r>
      <w:r w:rsidR="7CC25D9C" w:rsidRPr="24AA8A03">
        <w:rPr>
          <w:rFonts w:ascii="Arial" w:eastAsia="Calibri" w:hAnsi="Arial" w:cs="Arial"/>
        </w:rPr>
        <w:t xml:space="preserve"> (rounded to the nearest $100)</w:t>
      </w:r>
      <w:r w:rsidR="00E91343" w:rsidRPr="24AA8A03">
        <w:rPr>
          <w:rFonts w:ascii="Arial" w:eastAsia="Calibri" w:hAnsi="Arial" w:cs="Arial"/>
        </w:rPr>
        <w:t>,</w:t>
      </w:r>
      <w:r w:rsidR="00023957">
        <w:rPr>
          <w:rFonts w:ascii="Arial" w:eastAsia="Calibri" w:hAnsi="Arial" w:cs="Arial"/>
        </w:rPr>
        <w:t xml:space="preserve"> in line with the </w:t>
      </w:r>
      <w:r w:rsidR="074DC03D" w:rsidRPr="262C752C">
        <w:rPr>
          <w:rFonts w:ascii="Arial" w:eastAsia="Calibri" w:hAnsi="Arial" w:cs="Arial"/>
        </w:rPr>
        <w:t xml:space="preserve">Queensland </w:t>
      </w:r>
      <w:r w:rsidR="00023957">
        <w:rPr>
          <w:rFonts w:ascii="Arial" w:eastAsia="Calibri" w:hAnsi="Arial" w:cs="Arial"/>
        </w:rPr>
        <w:t>CPI</w:t>
      </w:r>
      <w:r w:rsidR="00276271">
        <w:rPr>
          <w:rFonts w:ascii="Arial" w:eastAsia="Calibri" w:hAnsi="Arial" w:cs="Arial"/>
        </w:rPr>
        <w:t xml:space="preserve"> rate </w:t>
      </w:r>
      <w:r w:rsidR="1AAF1D41" w:rsidRPr="262C752C">
        <w:rPr>
          <w:rFonts w:ascii="Arial" w:eastAsia="Calibri" w:hAnsi="Arial" w:cs="Arial"/>
        </w:rPr>
        <w:t xml:space="preserve">year average to </w:t>
      </w:r>
      <w:r w:rsidR="1AAF1D41" w:rsidRPr="2D0EEB2D">
        <w:rPr>
          <w:rFonts w:ascii="Arial" w:eastAsia="Calibri" w:hAnsi="Arial" w:cs="Arial"/>
        </w:rPr>
        <w:t>September</w:t>
      </w:r>
      <w:r w:rsidR="1AAF1D41" w:rsidRPr="262C752C">
        <w:rPr>
          <w:rFonts w:ascii="Arial" w:eastAsia="Calibri" w:hAnsi="Arial" w:cs="Arial"/>
        </w:rPr>
        <w:t xml:space="preserve"> quarter </w:t>
      </w:r>
      <w:r w:rsidR="1AAF1D41" w:rsidRPr="2D0EEB2D">
        <w:rPr>
          <w:rFonts w:ascii="Arial" w:eastAsia="Calibri" w:hAnsi="Arial" w:cs="Arial"/>
        </w:rPr>
        <w:t>2021</w:t>
      </w:r>
      <w:r w:rsidR="005E579F">
        <w:rPr>
          <w:rFonts w:ascii="Arial" w:eastAsia="Calibri" w:hAnsi="Arial" w:cs="Arial"/>
        </w:rPr>
        <w:t xml:space="preserve"> </w:t>
      </w:r>
      <w:r w:rsidR="00276271" w:rsidRPr="2D0EEB2D">
        <w:rPr>
          <w:rFonts w:ascii="Arial" w:eastAsia="Calibri" w:hAnsi="Arial" w:cs="Arial"/>
        </w:rPr>
        <w:t>for</w:t>
      </w:r>
      <w:r w:rsidR="00276271">
        <w:rPr>
          <w:rFonts w:ascii="Arial" w:eastAsia="Calibri" w:hAnsi="Arial" w:cs="Arial"/>
        </w:rPr>
        <w:t xml:space="preserve"> Queensland, with t</w:t>
      </w:r>
      <w:r w:rsidR="0001452E">
        <w:rPr>
          <w:rFonts w:ascii="Arial" w:eastAsia="Calibri" w:hAnsi="Arial" w:cs="Arial"/>
        </w:rPr>
        <w:t xml:space="preserve">he increase </w:t>
      </w:r>
      <w:r w:rsidR="00276271">
        <w:rPr>
          <w:rFonts w:ascii="Arial" w:eastAsia="Calibri" w:hAnsi="Arial" w:cs="Arial"/>
        </w:rPr>
        <w:t>to</w:t>
      </w:r>
      <w:r w:rsidR="0001452E">
        <w:rPr>
          <w:rFonts w:ascii="Arial" w:eastAsia="Calibri" w:hAnsi="Arial" w:cs="Arial"/>
        </w:rPr>
        <w:t xml:space="preserve"> take effect from 1 July 20</w:t>
      </w:r>
      <w:r w:rsidR="00246AE2">
        <w:rPr>
          <w:rFonts w:ascii="Arial" w:eastAsia="Calibri" w:hAnsi="Arial" w:cs="Arial"/>
        </w:rPr>
        <w:t xml:space="preserve">22. </w:t>
      </w:r>
    </w:p>
    <w:p w14:paraId="764370DB" w14:textId="140892D0" w:rsidR="005055C8" w:rsidRDefault="00246AE2" w:rsidP="005055C8">
      <w:pPr>
        <w:pStyle w:val="Subtitle"/>
        <w:keepNext/>
        <w:keepLines/>
        <w:spacing w:after="160" w:line="256" w:lineRule="auto"/>
        <w:rPr>
          <w:rFonts w:ascii="Arial" w:hAnsi="Arial" w:cs="Arial"/>
          <w:sz w:val="22"/>
          <w:szCs w:val="22"/>
        </w:rPr>
      </w:pPr>
      <w:r>
        <w:rPr>
          <w:rFonts w:ascii="Arial" w:hAnsi="Arial" w:cs="Arial"/>
          <w:sz w:val="22"/>
          <w:szCs w:val="22"/>
        </w:rPr>
        <w:t xml:space="preserve">General Travel Allocation </w:t>
      </w:r>
    </w:p>
    <w:p w14:paraId="64F0833D" w14:textId="73D284E9" w:rsidR="00782FD2" w:rsidRPr="008125D1" w:rsidRDefault="001F7C24" w:rsidP="008125D1">
      <w:pPr>
        <w:spacing w:before="200" w:after="200" w:line="276" w:lineRule="auto"/>
        <w:jc w:val="both"/>
        <w:rPr>
          <w:rFonts w:ascii="Arial" w:eastAsia="Calibri" w:hAnsi="Arial" w:cs="Arial"/>
        </w:rPr>
      </w:pPr>
      <w:r>
        <w:rPr>
          <w:rFonts w:ascii="Arial" w:eastAsia="Calibri" w:hAnsi="Arial" w:cs="Arial"/>
          <w:bCs/>
        </w:rPr>
        <w:t xml:space="preserve">The GTA is the primary travel entitlement available to all </w:t>
      </w:r>
      <w:r w:rsidR="00684B98">
        <w:rPr>
          <w:rFonts w:ascii="Arial" w:eastAsia="Calibri" w:hAnsi="Arial" w:cs="Arial"/>
          <w:bCs/>
        </w:rPr>
        <w:t>m</w:t>
      </w:r>
      <w:r>
        <w:rPr>
          <w:rFonts w:ascii="Arial" w:eastAsia="Calibri" w:hAnsi="Arial" w:cs="Arial"/>
          <w:bCs/>
        </w:rPr>
        <w:t xml:space="preserve">embers. It covers a range of travel </w:t>
      </w:r>
      <w:r w:rsidRPr="005D18AC">
        <w:rPr>
          <w:rFonts w:ascii="Arial" w:eastAsia="Calibri" w:hAnsi="Arial" w:cs="Arial"/>
        </w:rPr>
        <w:t xml:space="preserve">expenses </w:t>
      </w:r>
      <w:r w:rsidRPr="008125D1">
        <w:rPr>
          <w:rFonts w:ascii="Arial" w:eastAsia="Calibri" w:hAnsi="Arial" w:cs="Arial"/>
        </w:rPr>
        <w:t>incurred by members (and in limited cases their spouses/staff) when the member is required to travel to conduct ‘Parliamentary Business</w:t>
      </w:r>
      <w:proofErr w:type="gramStart"/>
      <w:r w:rsidRPr="008125D1">
        <w:rPr>
          <w:rFonts w:ascii="Arial" w:eastAsia="Calibri" w:hAnsi="Arial" w:cs="Arial"/>
        </w:rPr>
        <w:t>’.</w:t>
      </w:r>
      <w:proofErr w:type="gramEnd"/>
      <w:r w:rsidRPr="008125D1">
        <w:rPr>
          <w:rFonts w:ascii="Arial" w:eastAsia="Calibri" w:hAnsi="Arial" w:cs="Arial"/>
        </w:rPr>
        <w:t xml:space="preserve"> </w:t>
      </w:r>
      <w:r w:rsidR="00782FD2" w:rsidRPr="008125D1">
        <w:rPr>
          <w:rFonts w:ascii="Arial" w:eastAsia="Calibri" w:hAnsi="Arial" w:cs="Arial"/>
        </w:rPr>
        <w:t xml:space="preserve"> </w:t>
      </w:r>
      <w:r w:rsidRPr="008125D1">
        <w:rPr>
          <w:rFonts w:ascii="Arial" w:eastAsia="Calibri" w:hAnsi="Arial" w:cs="Arial"/>
        </w:rPr>
        <w:t xml:space="preserve">Types of expenditure that may </w:t>
      </w:r>
      <w:proofErr w:type="gramStart"/>
      <w:r w:rsidRPr="008125D1">
        <w:rPr>
          <w:rFonts w:ascii="Arial" w:eastAsia="Calibri" w:hAnsi="Arial" w:cs="Arial"/>
        </w:rPr>
        <w:t>be claimed</w:t>
      </w:r>
      <w:proofErr w:type="gramEnd"/>
      <w:r w:rsidRPr="008125D1">
        <w:rPr>
          <w:rFonts w:ascii="Arial" w:eastAsia="Calibri" w:hAnsi="Arial" w:cs="Arial"/>
        </w:rPr>
        <w:t xml:space="preserve"> </w:t>
      </w:r>
      <w:r w:rsidR="00782FD2" w:rsidRPr="008125D1">
        <w:rPr>
          <w:rFonts w:ascii="Arial" w:eastAsia="Calibri" w:hAnsi="Arial" w:cs="Arial"/>
        </w:rPr>
        <w:lastRenderedPageBreak/>
        <w:t xml:space="preserve">under the GTA </w:t>
      </w:r>
      <w:r w:rsidRPr="008125D1">
        <w:rPr>
          <w:rFonts w:ascii="Arial" w:eastAsia="Calibri" w:hAnsi="Arial" w:cs="Arial"/>
        </w:rPr>
        <w:t xml:space="preserve">include </w:t>
      </w:r>
      <w:r w:rsidR="00782FD2" w:rsidRPr="008125D1">
        <w:rPr>
          <w:rFonts w:ascii="Arial" w:eastAsia="Calibri" w:hAnsi="Arial" w:cs="Arial"/>
        </w:rPr>
        <w:t xml:space="preserve">i) </w:t>
      </w:r>
      <w:r w:rsidRPr="008125D1">
        <w:rPr>
          <w:rFonts w:ascii="Arial" w:eastAsia="Calibri" w:hAnsi="Arial" w:cs="Arial"/>
        </w:rPr>
        <w:t xml:space="preserve">air travel, </w:t>
      </w:r>
      <w:r w:rsidR="00782FD2" w:rsidRPr="008125D1">
        <w:rPr>
          <w:rFonts w:ascii="Arial" w:eastAsia="Calibri" w:hAnsi="Arial" w:cs="Arial"/>
        </w:rPr>
        <w:t xml:space="preserve">ii) </w:t>
      </w:r>
      <w:r w:rsidRPr="008125D1">
        <w:rPr>
          <w:rFonts w:ascii="Arial" w:eastAsia="Calibri" w:hAnsi="Arial" w:cs="Arial"/>
        </w:rPr>
        <w:t xml:space="preserve">ground travel and </w:t>
      </w:r>
      <w:r w:rsidR="00782FD2" w:rsidRPr="008125D1">
        <w:rPr>
          <w:rFonts w:ascii="Arial" w:eastAsia="Calibri" w:hAnsi="Arial" w:cs="Arial"/>
        </w:rPr>
        <w:t xml:space="preserve">iii) </w:t>
      </w:r>
      <w:r w:rsidRPr="008125D1">
        <w:rPr>
          <w:rFonts w:ascii="Arial" w:eastAsia="Calibri" w:hAnsi="Arial" w:cs="Arial"/>
        </w:rPr>
        <w:t xml:space="preserve">overnight expenses (Daily Travel Allowance). </w:t>
      </w:r>
    </w:p>
    <w:p w14:paraId="0D399FAA" w14:textId="56C4214B" w:rsidR="001F7C24" w:rsidRDefault="001F7C24" w:rsidP="00946396">
      <w:pPr>
        <w:spacing w:before="200" w:after="200" w:line="276" w:lineRule="auto"/>
        <w:jc w:val="both"/>
        <w:rPr>
          <w:rFonts w:ascii="Arial" w:eastAsia="Calibri" w:hAnsi="Arial" w:cs="Arial"/>
          <w:bCs/>
        </w:rPr>
      </w:pPr>
      <w:r w:rsidRPr="008125D1">
        <w:rPr>
          <w:rFonts w:ascii="Arial" w:eastAsia="Calibri" w:hAnsi="Arial" w:cs="Arial"/>
        </w:rPr>
        <w:t xml:space="preserve">There are </w:t>
      </w:r>
      <w:r w:rsidRPr="00782FD2">
        <w:rPr>
          <w:rFonts w:ascii="Arial" w:eastAsia="Calibri" w:hAnsi="Arial" w:cs="Arial"/>
        </w:rPr>
        <w:t>four</w:t>
      </w:r>
      <w:r w:rsidRPr="008125D1">
        <w:rPr>
          <w:rFonts w:ascii="Arial" w:eastAsia="Calibri" w:hAnsi="Arial" w:cs="Arial"/>
        </w:rPr>
        <w:t xml:space="preserve"> </w:t>
      </w:r>
      <w:r w:rsidR="00E86236" w:rsidRPr="008125D1">
        <w:rPr>
          <w:rFonts w:ascii="Arial" w:eastAsia="Calibri" w:hAnsi="Arial" w:cs="Arial"/>
        </w:rPr>
        <w:t>GTA</w:t>
      </w:r>
      <w:r w:rsidR="00E86236" w:rsidRPr="005D18AC">
        <w:rPr>
          <w:rFonts w:ascii="Arial" w:eastAsia="Calibri" w:hAnsi="Arial" w:cs="Arial"/>
        </w:rPr>
        <w:t xml:space="preserve"> </w:t>
      </w:r>
      <w:r w:rsidRPr="005D18AC">
        <w:rPr>
          <w:rFonts w:ascii="Arial" w:eastAsia="Calibri" w:hAnsi="Arial" w:cs="Arial"/>
        </w:rPr>
        <w:t xml:space="preserve">bands based on the size of each electorate. The current band limits </w:t>
      </w:r>
      <w:proofErr w:type="gramStart"/>
      <w:r w:rsidRPr="005D18AC">
        <w:rPr>
          <w:rFonts w:ascii="Arial" w:eastAsia="Calibri" w:hAnsi="Arial" w:cs="Arial"/>
        </w:rPr>
        <w:t>are listed</w:t>
      </w:r>
      <w:proofErr w:type="gramEnd"/>
      <w:r w:rsidRPr="005D18AC">
        <w:rPr>
          <w:rFonts w:ascii="Arial" w:eastAsia="Calibri" w:hAnsi="Arial" w:cs="Arial"/>
        </w:rPr>
        <w:t xml:space="preserve"> in Table</w:t>
      </w:r>
      <w:r>
        <w:rPr>
          <w:rFonts w:ascii="Arial" w:eastAsia="Calibri" w:hAnsi="Arial" w:cs="Arial"/>
          <w:bCs/>
        </w:rPr>
        <w:t xml:space="preserve"> </w:t>
      </w:r>
      <w:r w:rsidR="00DB77F7">
        <w:rPr>
          <w:rFonts w:ascii="Arial" w:eastAsia="Calibri" w:hAnsi="Arial" w:cs="Arial"/>
          <w:bCs/>
        </w:rPr>
        <w:t>4</w:t>
      </w:r>
      <w:r>
        <w:rPr>
          <w:rFonts w:ascii="Arial" w:eastAsia="Calibri" w:hAnsi="Arial" w:cs="Arial"/>
          <w:bCs/>
        </w:rPr>
        <w:t xml:space="preserve">. </w:t>
      </w:r>
    </w:p>
    <w:p w14:paraId="76AEF6F9" w14:textId="512C5F06" w:rsidR="001F7C24" w:rsidRDefault="001F7C24" w:rsidP="001F7C24">
      <w:pPr>
        <w:spacing w:after="200" w:line="276" w:lineRule="auto"/>
        <w:jc w:val="both"/>
        <w:rPr>
          <w:rFonts w:ascii="Arial" w:eastAsia="Calibri" w:hAnsi="Arial" w:cs="Arial"/>
          <w:bCs/>
        </w:rPr>
      </w:pPr>
      <w:r>
        <w:rPr>
          <w:rFonts w:ascii="Arial" w:eastAsia="Calibri" w:hAnsi="Arial" w:cs="Arial"/>
          <w:u w:val="single"/>
        </w:rPr>
        <w:t xml:space="preserve">Table </w:t>
      </w:r>
      <w:r w:rsidR="0031124E">
        <w:rPr>
          <w:rFonts w:ascii="Arial" w:eastAsia="Calibri" w:hAnsi="Arial" w:cs="Arial"/>
          <w:u w:val="single"/>
        </w:rPr>
        <w:t>4</w:t>
      </w:r>
      <w:r>
        <w:rPr>
          <w:rFonts w:ascii="Arial" w:eastAsia="Calibri" w:hAnsi="Arial" w:cs="Arial"/>
          <w:u w:val="single"/>
        </w:rPr>
        <w:t>: General Travel Allocation Bands</w:t>
      </w:r>
    </w:p>
    <w:tbl>
      <w:tblPr>
        <w:tblStyle w:val="TableGrid"/>
        <w:tblW w:w="0" w:type="auto"/>
        <w:tblInd w:w="0" w:type="dxa"/>
        <w:tblLook w:val="04A0" w:firstRow="1" w:lastRow="0" w:firstColumn="1" w:lastColumn="0" w:noHBand="0" w:noVBand="1"/>
      </w:tblPr>
      <w:tblGrid>
        <w:gridCol w:w="2255"/>
        <w:gridCol w:w="2349"/>
        <w:gridCol w:w="2338"/>
        <w:gridCol w:w="2074"/>
      </w:tblGrid>
      <w:tr w:rsidR="001F7C24" w:rsidRPr="009848D4" w14:paraId="2E77F222" w14:textId="77777777" w:rsidTr="00C965DA">
        <w:tc>
          <w:tcPr>
            <w:tcW w:w="225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145B3D5" w14:textId="77777777" w:rsidR="001F7C24" w:rsidRPr="009848D4" w:rsidRDefault="001F7C24" w:rsidP="00C965DA">
            <w:pPr>
              <w:jc w:val="center"/>
              <w:rPr>
                <w:rFonts w:ascii="Arial" w:eastAsia="Calibri" w:hAnsi="Arial" w:cs="Arial"/>
                <w:b/>
              </w:rPr>
            </w:pPr>
            <w:r w:rsidRPr="009848D4">
              <w:rPr>
                <w:rFonts w:ascii="Arial" w:eastAsia="Calibri" w:hAnsi="Arial" w:cs="Arial"/>
                <w:b/>
              </w:rPr>
              <w:t>Band</w:t>
            </w:r>
          </w:p>
        </w:tc>
        <w:tc>
          <w:tcPr>
            <w:tcW w:w="23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A10B224" w14:textId="77777777" w:rsidR="001F7C24" w:rsidRPr="009848D4" w:rsidRDefault="001F7C24" w:rsidP="00C965DA">
            <w:pPr>
              <w:jc w:val="center"/>
              <w:rPr>
                <w:rFonts w:ascii="Arial" w:eastAsia="Calibri" w:hAnsi="Arial" w:cs="Arial"/>
                <w:b/>
              </w:rPr>
            </w:pPr>
            <w:r w:rsidRPr="009848D4">
              <w:rPr>
                <w:rFonts w:ascii="Arial" w:eastAsia="Calibri" w:hAnsi="Arial" w:cs="Arial"/>
                <w:b/>
              </w:rPr>
              <w:t>Amount</w:t>
            </w:r>
          </w:p>
        </w:tc>
        <w:tc>
          <w:tcPr>
            <w:tcW w:w="233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D8EFF05" w14:textId="77777777" w:rsidR="001F7C24" w:rsidRPr="009848D4" w:rsidRDefault="001F7C24" w:rsidP="00C965DA">
            <w:pPr>
              <w:jc w:val="center"/>
              <w:rPr>
                <w:rFonts w:ascii="Arial" w:eastAsia="Calibri" w:hAnsi="Arial" w:cs="Arial"/>
                <w:b/>
              </w:rPr>
            </w:pPr>
            <w:r w:rsidRPr="009848D4">
              <w:rPr>
                <w:rFonts w:ascii="Arial" w:eastAsia="Calibri" w:hAnsi="Arial" w:cs="Arial"/>
                <w:b/>
              </w:rPr>
              <w:t>Range km2</w:t>
            </w:r>
          </w:p>
        </w:tc>
        <w:tc>
          <w:tcPr>
            <w:tcW w:w="207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DA4AE5" w14:textId="77777777" w:rsidR="001F7C24" w:rsidRPr="009848D4" w:rsidRDefault="001F7C24" w:rsidP="00C965DA">
            <w:pPr>
              <w:jc w:val="center"/>
              <w:rPr>
                <w:rFonts w:ascii="Arial" w:eastAsia="Calibri" w:hAnsi="Arial" w:cs="Arial"/>
                <w:b/>
              </w:rPr>
            </w:pPr>
            <w:r w:rsidRPr="009848D4">
              <w:rPr>
                <w:rFonts w:ascii="Arial" w:eastAsia="Calibri" w:hAnsi="Arial" w:cs="Arial"/>
                <w:b/>
              </w:rPr>
              <w:t>No. of electorates in Bands</w:t>
            </w:r>
          </w:p>
        </w:tc>
      </w:tr>
      <w:tr w:rsidR="001F7C24" w:rsidRPr="009848D4" w14:paraId="5C9E403F" w14:textId="77777777" w:rsidTr="00C965DA">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90CC02" w14:textId="77777777" w:rsidR="001F7C24" w:rsidRPr="009848D4" w:rsidRDefault="001F7C24" w:rsidP="00C965DA">
            <w:pPr>
              <w:rPr>
                <w:rFonts w:ascii="Arial" w:eastAsia="Calibri" w:hAnsi="Arial" w:cs="Arial"/>
                <w:b/>
              </w:rPr>
            </w:pPr>
            <w:r w:rsidRPr="009848D4">
              <w:rPr>
                <w:rFonts w:ascii="Arial" w:eastAsia="Calibri" w:hAnsi="Arial" w:cs="Arial"/>
                <w:b/>
              </w:rPr>
              <w:t>Band 1</w:t>
            </w:r>
          </w:p>
        </w:tc>
        <w:tc>
          <w:tcPr>
            <w:tcW w:w="2349" w:type="dxa"/>
            <w:tcBorders>
              <w:top w:val="single" w:sz="4" w:space="0" w:color="auto"/>
              <w:left w:val="single" w:sz="4" w:space="0" w:color="auto"/>
              <w:bottom w:val="single" w:sz="4" w:space="0" w:color="auto"/>
              <w:right w:val="single" w:sz="4" w:space="0" w:color="auto"/>
            </w:tcBorders>
            <w:hideMark/>
          </w:tcPr>
          <w:p w14:paraId="2FEF4869"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$18,360</w:t>
            </w:r>
          </w:p>
        </w:tc>
        <w:tc>
          <w:tcPr>
            <w:tcW w:w="2338" w:type="dxa"/>
            <w:tcBorders>
              <w:top w:val="single" w:sz="4" w:space="0" w:color="auto"/>
              <w:left w:val="single" w:sz="4" w:space="0" w:color="auto"/>
              <w:bottom w:val="single" w:sz="4" w:space="0" w:color="auto"/>
              <w:right w:val="single" w:sz="4" w:space="0" w:color="auto"/>
            </w:tcBorders>
            <w:hideMark/>
          </w:tcPr>
          <w:p w14:paraId="09B9BC44"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0 – 4,499</w:t>
            </w:r>
          </w:p>
        </w:tc>
        <w:tc>
          <w:tcPr>
            <w:tcW w:w="2074" w:type="dxa"/>
            <w:tcBorders>
              <w:top w:val="single" w:sz="4" w:space="0" w:color="auto"/>
              <w:left w:val="single" w:sz="4" w:space="0" w:color="auto"/>
              <w:bottom w:val="single" w:sz="4" w:space="0" w:color="auto"/>
              <w:right w:val="single" w:sz="4" w:space="0" w:color="auto"/>
            </w:tcBorders>
          </w:tcPr>
          <w:p w14:paraId="35782132"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76</w:t>
            </w:r>
          </w:p>
        </w:tc>
      </w:tr>
      <w:tr w:rsidR="001F7C24" w:rsidRPr="009848D4" w14:paraId="1364FDD9" w14:textId="77777777" w:rsidTr="00C965DA">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139CDC" w14:textId="77777777" w:rsidR="001F7C24" w:rsidRPr="009848D4" w:rsidRDefault="001F7C24" w:rsidP="00C965DA">
            <w:pPr>
              <w:rPr>
                <w:rFonts w:ascii="Arial" w:eastAsia="Calibri" w:hAnsi="Arial" w:cs="Arial"/>
                <w:b/>
              </w:rPr>
            </w:pPr>
            <w:r w:rsidRPr="009848D4">
              <w:rPr>
                <w:rFonts w:ascii="Arial" w:eastAsia="Calibri" w:hAnsi="Arial" w:cs="Arial"/>
                <w:b/>
              </w:rPr>
              <w:t>Band 2</w:t>
            </w:r>
          </w:p>
        </w:tc>
        <w:tc>
          <w:tcPr>
            <w:tcW w:w="2349" w:type="dxa"/>
            <w:tcBorders>
              <w:top w:val="single" w:sz="4" w:space="0" w:color="auto"/>
              <w:left w:val="single" w:sz="4" w:space="0" w:color="auto"/>
              <w:bottom w:val="single" w:sz="4" w:space="0" w:color="auto"/>
              <w:right w:val="single" w:sz="4" w:space="0" w:color="auto"/>
            </w:tcBorders>
            <w:hideMark/>
          </w:tcPr>
          <w:p w14:paraId="117573F3"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$30,040</w:t>
            </w:r>
          </w:p>
        </w:tc>
        <w:tc>
          <w:tcPr>
            <w:tcW w:w="2338" w:type="dxa"/>
            <w:tcBorders>
              <w:top w:val="single" w:sz="4" w:space="0" w:color="auto"/>
              <w:left w:val="single" w:sz="4" w:space="0" w:color="auto"/>
              <w:bottom w:val="single" w:sz="4" w:space="0" w:color="auto"/>
              <w:right w:val="single" w:sz="4" w:space="0" w:color="auto"/>
            </w:tcBorders>
            <w:hideMark/>
          </w:tcPr>
          <w:p w14:paraId="61EDE474"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4,500 - 49,999</w:t>
            </w:r>
          </w:p>
        </w:tc>
        <w:tc>
          <w:tcPr>
            <w:tcW w:w="2074" w:type="dxa"/>
            <w:tcBorders>
              <w:top w:val="single" w:sz="4" w:space="0" w:color="auto"/>
              <w:left w:val="single" w:sz="4" w:space="0" w:color="auto"/>
              <w:bottom w:val="single" w:sz="4" w:space="0" w:color="auto"/>
              <w:right w:val="single" w:sz="4" w:space="0" w:color="auto"/>
            </w:tcBorders>
          </w:tcPr>
          <w:p w14:paraId="7E62124D"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11</w:t>
            </w:r>
          </w:p>
        </w:tc>
      </w:tr>
      <w:tr w:rsidR="001F7C24" w:rsidRPr="009848D4" w14:paraId="6FEDA3E9" w14:textId="77777777" w:rsidTr="00C965DA">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6B3AA3" w14:textId="77777777" w:rsidR="001F7C24" w:rsidRPr="009848D4" w:rsidRDefault="001F7C24" w:rsidP="00C965DA">
            <w:pPr>
              <w:rPr>
                <w:rFonts w:ascii="Arial" w:eastAsia="Calibri" w:hAnsi="Arial" w:cs="Arial"/>
                <w:b/>
              </w:rPr>
            </w:pPr>
            <w:r w:rsidRPr="009848D4">
              <w:rPr>
                <w:rFonts w:ascii="Arial" w:eastAsia="Calibri" w:hAnsi="Arial" w:cs="Arial"/>
                <w:b/>
              </w:rPr>
              <w:t>Band 3</w:t>
            </w:r>
          </w:p>
        </w:tc>
        <w:tc>
          <w:tcPr>
            <w:tcW w:w="2349" w:type="dxa"/>
            <w:tcBorders>
              <w:top w:val="single" w:sz="4" w:space="0" w:color="auto"/>
              <w:left w:val="single" w:sz="4" w:space="0" w:color="auto"/>
              <w:bottom w:val="single" w:sz="4" w:space="0" w:color="auto"/>
              <w:right w:val="single" w:sz="4" w:space="0" w:color="auto"/>
            </w:tcBorders>
            <w:hideMark/>
          </w:tcPr>
          <w:p w14:paraId="40B539A9"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$40,000</w:t>
            </w:r>
          </w:p>
        </w:tc>
        <w:tc>
          <w:tcPr>
            <w:tcW w:w="2338" w:type="dxa"/>
            <w:tcBorders>
              <w:top w:val="single" w:sz="4" w:space="0" w:color="auto"/>
              <w:left w:val="single" w:sz="4" w:space="0" w:color="auto"/>
              <w:bottom w:val="single" w:sz="4" w:space="0" w:color="auto"/>
              <w:right w:val="single" w:sz="4" w:space="0" w:color="auto"/>
            </w:tcBorders>
            <w:hideMark/>
          </w:tcPr>
          <w:p w14:paraId="0371D5F3"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50,000 – 99,999</w:t>
            </w:r>
          </w:p>
        </w:tc>
        <w:tc>
          <w:tcPr>
            <w:tcW w:w="2074" w:type="dxa"/>
            <w:tcBorders>
              <w:top w:val="single" w:sz="4" w:space="0" w:color="auto"/>
              <w:left w:val="single" w:sz="4" w:space="0" w:color="auto"/>
              <w:bottom w:val="single" w:sz="4" w:space="0" w:color="auto"/>
              <w:right w:val="single" w:sz="4" w:space="0" w:color="auto"/>
            </w:tcBorders>
          </w:tcPr>
          <w:p w14:paraId="41297EAE"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2</w:t>
            </w:r>
          </w:p>
        </w:tc>
      </w:tr>
      <w:tr w:rsidR="001F7C24" w:rsidRPr="009848D4" w14:paraId="6B0D78F0" w14:textId="77777777" w:rsidTr="00C965DA">
        <w:tc>
          <w:tcPr>
            <w:tcW w:w="22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B62586" w14:textId="77777777" w:rsidR="001F7C24" w:rsidRPr="009848D4" w:rsidRDefault="001F7C24" w:rsidP="00C965DA">
            <w:pPr>
              <w:rPr>
                <w:rFonts w:ascii="Arial" w:eastAsia="Calibri" w:hAnsi="Arial" w:cs="Arial"/>
                <w:b/>
              </w:rPr>
            </w:pPr>
            <w:r w:rsidRPr="009848D4">
              <w:rPr>
                <w:rFonts w:ascii="Arial" w:eastAsia="Calibri" w:hAnsi="Arial" w:cs="Arial"/>
                <w:b/>
              </w:rPr>
              <w:t>Band 4</w:t>
            </w:r>
          </w:p>
        </w:tc>
        <w:tc>
          <w:tcPr>
            <w:tcW w:w="2349" w:type="dxa"/>
            <w:tcBorders>
              <w:top w:val="single" w:sz="4" w:space="0" w:color="auto"/>
              <w:left w:val="single" w:sz="4" w:space="0" w:color="auto"/>
              <w:bottom w:val="single" w:sz="4" w:space="0" w:color="auto"/>
              <w:right w:val="single" w:sz="4" w:space="0" w:color="auto"/>
            </w:tcBorders>
            <w:hideMark/>
          </w:tcPr>
          <w:p w14:paraId="08CA2D2C"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$79,700</w:t>
            </w:r>
          </w:p>
        </w:tc>
        <w:tc>
          <w:tcPr>
            <w:tcW w:w="2338" w:type="dxa"/>
            <w:tcBorders>
              <w:top w:val="single" w:sz="4" w:space="0" w:color="auto"/>
              <w:left w:val="single" w:sz="4" w:space="0" w:color="auto"/>
              <w:bottom w:val="single" w:sz="4" w:space="0" w:color="auto"/>
              <w:right w:val="single" w:sz="4" w:space="0" w:color="auto"/>
            </w:tcBorders>
            <w:hideMark/>
          </w:tcPr>
          <w:p w14:paraId="4F3399E5"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100,000 and over</w:t>
            </w:r>
          </w:p>
        </w:tc>
        <w:tc>
          <w:tcPr>
            <w:tcW w:w="2074" w:type="dxa"/>
            <w:tcBorders>
              <w:top w:val="single" w:sz="4" w:space="0" w:color="auto"/>
              <w:left w:val="single" w:sz="4" w:space="0" w:color="auto"/>
              <w:bottom w:val="single" w:sz="4" w:space="0" w:color="auto"/>
              <w:right w:val="single" w:sz="4" w:space="0" w:color="auto"/>
            </w:tcBorders>
          </w:tcPr>
          <w:p w14:paraId="09A3C6C7" w14:textId="77777777" w:rsidR="001F7C24" w:rsidRPr="009848D4" w:rsidRDefault="001F7C24" w:rsidP="00C965DA">
            <w:pPr>
              <w:jc w:val="center"/>
              <w:rPr>
                <w:rFonts w:ascii="Arial" w:eastAsia="Calibri" w:hAnsi="Arial" w:cs="Arial"/>
                <w:bCs/>
              </w:rPr>
            </w:pPr>
            <w:r w:rsidRPr="009848D4">
              <w:rPr>
                <w:rFonts w:ascii="Arial" w:eastAsia="Calibri" w:hAnsi="Arial" w:cs="Arial"/>
                <w:bCs/>
              </w:rPr>
              <w:t>4</w:t>
            </w:r>
          </w:p>
        </w:tc>
      </w:tr>
    </w:tbl>
    <w:p w14:paraId="633E8CFA" w14:textId="449DA030" w:rsidR="00463DE2" w:rsidRDefault="00937821" w:rsidP="005D18AC">
      <w:pPr>
        <w:spacing w:before="200" w:after="200" w:line="276" w:lineRule="auto"/>
        <w:jc w:val="both"/>
        <w:rPr>
          <w:rFonts w:ascii="Arial" w:eastAsia="Calibri" w:hAnsi="Arial" w:cs="Arial"/>
          <w:bCs/>
        </w:rPr>
      </w:pPr>
      <w:r>
        <w:rPr>
          <w:rFonts w:ascii="Arial" w:eastAsia="Calibri" w:hAnsi="Arial" w:cs="Arial"/>
        </w:rPr>
        <w:t>An analysis of</w:t>
      </w:r>
      <w:r w:rsidR="003A071F">
        <w:rPr>
          <w:rFonts w:ascii="Arial" w:eastAsia="Calibri" w:hAnsi="Arial" w:cs="Arial"/>
        </w:rPr>
        <w:t xml:space="preserve"> GTA expenditure for 2020-2021 </w:t>
      </w:r>
      <w:r>
        <w:rPr>
          <w:rFonts w:ascii="Arial" w:eastAsia="Calibri" w:hAnsi="Arial" w:cs="Arial"/>
        </w:rPr>
        <w:t>found</w:t>
      </w:r>
      <w:r w:rsidR="00180EA3">
        <w:rPr>
          <w:rFonts w:ascii="Arial" w:eastAsia="Calibri" w:hAnsi="Arial" w:cs="Arial"/>
        </w:rPr>
        <w:t xml:space="preserve"> that </w:t>
      </w:r>
      <w:r w:rsidR="00C12757" w:rsidRPr="00025E6C">
        <w:rPr>
          <w:rFonts w:ascii="Arial" w:eastAsia="Calibri" w:hAnsi="Arial" w:cs="Arial"/>
          <w:bCs/>
        </w:rPr>
        <w:t xml:space="preserve">member claims </w:t>
      </w:r>
      <w:r w:rsidR="00B03009">
        <w:rPr>
          <w:rFonts w:ascii="Arial" w:eastAsia="Calibri" w:hAnsi="Arial" w:cs="Arial"/>
          <w:bCs/>
        </w:rPr>
        <w:t>ha</w:t>
      </w:r>
      <w:r w:rsidR="00495A5F">
        <w:rPr>
          <w:rFonts w:ascii="Arial" w:eastAsia="Calibri" w:hAnsi="Arial" w:cs="Arial"/>
          <w:bCs/>
        </w:rPr>
        <w:t xml:space="preserve">ve </w:t>
      </w:r>
      <w:r w:rsidR="00C12757" w:rsidRPr="00025E6C">
        <w:rPr>
          <w:rFonts w:ascii="Arial" w:eastAsia="Calibri" w:hAnsi="Arial" w:cs="Arial"/>
          <w:bCs/>
        </w:rPr>
        <w:t>increased by $102,700</w:t>
      </w:r>
      <w:r w:rsidR="005D18AC">
        <w:rPr>
          <w:rFonts w:ascii="Arial" w:eastAsia="Calibri" w:hAnsi="Arial" w:cs="Arial"/>
          <w:bCs/>
        </w:rPr>
        <w:t>,</w:t>
      </w:r>
      <w:r w:rsidR="00C12757" w:rsidRPr="00025E6C">
        <w:rPr>
          <w:rFonts w:ascii="Arial" w:eastAsia="Calibri" w:hAnsi="Arial" w:cs="Arial"/>
          <w:bCs/>
        </w:rPr>
        <w:t xml:space="preserve"> from $591,417 in 2019</w:t>
      </w:r>
      <w:r w:rsidR="00C12757" w:rsidRPr="00025E6C">
        <w:rPr>
          <w:rFonts w:ascii="Arial" w:eastAsia="Calibri" w:hAnsi="Arial" w:cs="Arial"/>
          <w:bCs/>
        </w:rPr>
        <w:noBreakHyphen/>
        <w:t>20 to $694,231 in 2020</w:t>
      </w:r>
      <w:r w:rsidR="00C12757" w:rsidRPr="004249A5">
        <w:rPr>
          <w:rFonts w:ascii="Arial" w:eastAsia="Calibri" w:hAnsi="Arial" w:cs="Arial"/>
          <w:bCs/>
        </w:rPr>
        <w:t>-21</w:t>
      </w:r>
      <w:r w:rsidR="00E36733">
        <w:rPr>
          <w:rFonts w:ascii="Arial" w:eastAsia="Calibri" w:hAnsi="Arial" w:cs="Arial"/>
          <w:bCs/>
        </w:rPr>
        <w:t xml:space="preserve">. The Tribunal </w:t>
      </w:r>
      <w:r w:rsidR="003A071F">
        <w:rPr>
          <w:rFonts w:ascii="Arial" w:eastAsia="Calibri" w:hAnsi="Arial" w:cs="Arial"/>
        </w:rPr>
        <w:t>noted</w:t>
      </w:r>
      <w:r w:rsidR="003A071F">
        <w:rPr>
          <w:rFonts w:ascii="Arial" w:eastAsia="Calibri" w:hAnsi="Arial" w:cs="Arial"/>
          <w:bCs/>
        </w:rPr>
        <w:t xml:space="preserve"> that </w:t>
      </w:r>
      <w:r w:rsidR="0045649A">
        <w:rPr>
          <w:rFonts w:ascii="Arial" w:eastAsia="Calibri" w:hAnsi="Arial" w:cs="Arial"/>
          <w:bCs/>
        </w:rPr>
        <w:t xml:space="preserve">although </w:t>
      </w:r>
      <w:r w:rsidR="003A071F">
        <w:rPr>
          <w:rFonts w:ascii="Arial" w:eastAsia="Calibri" w:hAnsi="Arial" w:cs="Arial"/>
          <w:bCs/>
        </w:rPr>
        <w:t>e</w:t>
      </w:r>
      <w:r w:rsidR="003A071F" w:rsidRPr="003A071F">
        <w:rPr>
          <w:rFonts w:ascii="Arial" w:eastAsia="Calibri" w:hAnsi="Arial" w:cs="Arial"/>
          <w:bCs/>
        </w:rPr>
        <w:t>xpenditure in 2020-21 has increased from 2019-20</w:t>
      </w:r>
      <w:r w:rsidR="003A071F">
        <w:rPr>
          <w:rFonts w:ascii="Arial" w:eastAsia="Calibri" w:hAnsi="Arial" w:cs="Arial"/>
          <w:bCs/>
        </w:rPr>
        <w:t>,</w:t>
      </w:r>
      <w:r w:rsidR="003A071F" w:rsidRPr="003A071F">
        <w:rPr>
          <w:rFonts w:ascii="Arial" w:eastAsia="Calibri" w:hAnsi="Arial" w:cs="Arial"/>
          <w:bCs/>
        </w:rPr>
        <w:t xml:space="preserve"> </w:t>
      </w:r>
      <w:r w:rsidR="003A071F">
        <w:rPr>
          <w:rFonts w:ascii="Arial" w:eastAsia="Calibri" w:hAnsi="Arial" w:cs="Arial"/>
          <w:bCs/>
        </w:rPr>
        <w:t xml:space="preserve">the </w:t>
      </w:r>
      <w:r w:rsidR="003A071F" w:rsidRPr="003A071F">
        <w:rPr>
          <w:rFonts w:ascii="Arial" w:eastAsia="Calibri" w:hAnsi="Arial" w:cs="Arial"/>
          <w:bCs/>
        </w:rPr>
        <w:t xml:space="preserve">rates of expenditure </w:t>
      </w:r>
      <w:r w:rsidR="003A071F">
        <w:rPr>
          <w:rFonts w:ascii="Arial" w:eastAsia="Calibri" w:hAnsi="Arial" w:cs="Arial"/>
          <w:bCs/>
        </w:rPr>
        <w:t xml:space="preserve">are not at the same levels of </w:t>
      </w:r>
      <w:r w:rsidR="003A071F" w:rsidRPr="003A071F">
        <w:rPr>
          <w:rFonts w:ascii="Arial" w:eastAsia="Calibri" w:hAnsi="Arial" w:cs="Arial"/>
          <w:bCs/>
        </w:rPr>
        <w:t xml:space="preserve">2018-19, prior to the COVID-19 pandemic, apart from the DTA which has increased by 4% ($10,179) since 2018-19. </w:t>
      </w:r>
    </w:p>
    <w:p w14:paraId="476635F2" w14:textId="6E171937" w:rsidR="007174AC" w:rsidRPr="00A77BF9" w:rsidRDefault="007174AC" w:rsidP="005D18AC">
      <w:pPr>
        <w:spacing w:after="120" w:line="276" w:lineRule="auto"/>
        <w:jc w:val="both"/>
        <w:rPr>
          <w:rFonts w:ascii="Arial" w:eastAsiaTheme="minorHAnsi" w:hAnsi="Arial" w:cs="Arial"/>
          <w:color w:val="000000"/>
          <w:lang w:eastAsia="en-US"/>
        </w:rPr>
      </w:pPr>
      <w:r w:rsidRPr="00A77BF9">
        <w:rPr>
          <w:rFonts w:ascii="Arial" w:eastAsiaTheme="minorHAnsi" w:hAnsi="Arial" w:cs="Arial"/>
          <w:color w:val="000000"/>
          <w:lang w:eastAsia="en-US"/>
        </w:rPr>
        <w:t xml:space="preserve">Data from the Annual Report of </w:t>
      </w:r>
      <w:r w:rsidR="008C0198">
        <w:rPr>
          <w:rFonts w:ascii="Arial" w:eastAsiaTheme="minorHAnsi" w:hAnsi="Arial" w:cs="Arial"/>
          <w:color w:val="000000"/>
          <w:lang w:eastAsia="en-US"/>
        </w:rPr>
        <w:t>GTA</w:t>
      </w:r>
      <w:r w:rsidRPr="00A77BF9">
        <w:rPr>
          <w:rFonts w:ascii="Arial" w:eastAsiaTheme="minorHAnsi" w:hAnsi="Arial" w:cs="Arial"/>
          <w:color w:val="000000"/>
          <w:lang w:eastAsia="en-US"/>
        </w:rPr>
        <w:t xml:space="preserve"> Expenditure by Members shows the </w:t>
      </w:r>
      <w:r w:rsidRPr="00A77BF9">
        <w:rPr>
          <w:rFonts w:ascii="Arial" w:hAnsi="Arial" w:cs="Arial"/>
        </w:rPr>
        <w:t>following</w:t>
      </w:r>
      <w:r w:rsidRPr="00A77BF9">
        <w:rPr>
          <w:rFonts w:ascii="Arial" w:eastAsiaTheme="minorHAnsi" w:hAnsi="Arial" w:cs="Arial"/>
          <w:color w:val="000000"/>
          <w:lang w:eastAsia="en-US"/>
        </w:rPr>
        <w:t xml:space="preserve">: </w:t>
      </w:r>
    </w:p>
    <w:p w14:paraId="373072AF" w14:textId="6CC1B8BA" w:rsidR="007174AC" w:rsidRPr="00A5614D" w:rsidRDefault="007174AC" w:rsidP="005D18AC">
      <w:pPr>
        <w:pStyle w:val="ListParagraph"/>
        <w:numPr>
          <w:ilvl w:val="0"/>
          <w:numId w:val="107"/>
        </w:numPr>
        <w:spacing w:before="120" w:after="120" w:line="276" w:lineRule="auto"/>
        <w:ind w:left="714" w:hanging="357"/>
        <w:contextualSpacing w:val="0"/>
        <w:jc w:val="both"/>
        <w:rPr>
          <w:rFonts w:ascii="Arial" w:hAnsi="Arial" w:cs="Arial"/>
        </w:rPr>
      </w:pPr>
      <w:r w:rsidRPr="00A5614D">
        <w:rPr>
          <w:rFonts w:ascii="Arial" w:hAnsi="Arial" w:cs="Arial"/>
        </w:rPr>
        <w:t xml:space="preserve">Band 1 – members expended between 0% and </w:t>
      </w:r>
      <w:r w:rsidR="00B25981">
        <w:rPr>
          <w:rFonts w:ascii="Arial" w:hAnsi="Arial" w:cs="Arial"/>
        </w:rPr>
        <w:t>110</w:t>
      </w:r>
      <w:r w:rsidRPr="00A5614D">
        <w:rPr>
          <w:rFonts w:ascii="Arial" w:hAnsi="Arial" w:cs="Arial"/>
        </w:rPr>
        <w:t xml:space="preserve">%, with average expenditure of </w:t>
      </w:r>
      <w:r w:rsidR="00935405">
        <w:rPr>
          <w:rFonts w:ascii="Arial" w:hAnsi="Arial" w:cs="Arial"/>
        </w:rPr>
        <w:t>17</w:t>
      </w:r>
      <w:r w:rsidRPr="00A5614D">
        <w:rPr>
          <w:rFonts w:ascii="Arial" w:hAnsi="Arial" w:cs="Arial"/>
        </w:rPr>
        <w:t xml:space="preserve">% of their GTA </w:t>
      </w:r>
    </w:p>
    <w:p w14:paraId="58AC8162" w14:textId="157D5321" w:rsidR="007174AC" w:rsidRPr="00A5614D" w:rsidRDefault="007174AC" w:rsidP="005D18AC">
      <w:pPr>
        <w:pStyle w:val="ListParagraph"/>
        <w:numPr>
          <w:ilvl w:val="0"/>
          <w:numId w:val="107"/>
        </w:numPr>
        <w:spacing w:before="120" w:after="120" w:line="276" w:lineRule="auto"/>
        <w:ind w:left="714" w:hanging="357"/>
        <w:contextualSpacing w:val="0"/>
        <w:jc w:val="both"/>
        <w:rPr>
          <w:rFonts w:ascii="Arial" w:hAnsi="Arial" w:cs="Arial"/>
        </w:rPr>
      </w:pPr>
      <w:r w:rsidRPr="00A5614D">
        <w:rPr>
          <w:rFonts w:ascii="Arial" w:hAnsi="Arial" w:cs="Arial"/>
        </w:rPr>
        <w:t xml:space="preserve">Band 2 – members expended between </w:t>
      </w:r>
      <w:r w:rsidR="001C1565">
        <w:rPr>
          <w:rFonts w:ascii="Arial" w:hAnsi="Arial" w:cs="Arial"/>
        </w:rPr>
        <w:t>0.8</w:t>
      </w:r>
      <w:r w:rsidRPr="00A5614D">
        <w:rPr>
          <w:rFonts w:ascii="Arial" w:hAnsi="Arial" w:cs="Arial"/>
        </w:rPr>
        <w:t>% and 1</w:t>
      </w:r>
      <w:r w:rsidR="00C37E79">
        <w:rPr>
          <w:rFonts w:ascii="Arial" w:hAnsi="Arial" w:cs="Arial"/>
        </w:rPr>
        <w:t>04</w:t>
      </w:r>
      <w:r w:rsidRPr="00A5614D">
        <w:rPr>
          <w:rFonts w:ascii="Arial" w:hAnsi="Arial" w:cs="Arial"/>
        </w:rPr>
        <w:t>%, with average expenditure of 4</w:t>
      </w:r>
      <w:r w:rsidR="005B22D5">
        <w:rPr>
          <w:rFonts w:ascii="Arial" w:hAnsi="Arial" w:cs="Arial"/>
        </w:rPr>
        <w:t>2</w:t>
      </w:r>
      <w:r w:rsidRPr="00A5614D">
        <w:rPr>
          <w:rFonts w:ascii="Arial" w:hAnsi="Arial" w:cs="Arial"/>
        </w:rPr>
        <w:t xml:space="preserve">% </w:t>
      </w:r>
    </w:p>
    <w:p w14:paraId="6CEC7653" w14:textId="617F2A7E" w:rsidR="007174AC" w:rsidRPr="00A5614D" w:rsidRDefault="007174AC" w:rsidP="005D18AC">
      <w:pPr>
        <w:pStyle w:val="ListParagraph"/>
        <w:numPr>
          <w:ilvl w:val="0"/>
          <w:numId w:val="107"/>
        </w:numPr>
        <w:spacing w:before="120" w:after="120" w:line="276" w:lineRule="auto"/>
        <w:ind w:left="714" w:hanging="357"/>
        <w:contextualSpacing w:val="0"/>
        <w:jc w:val="both"/>
        <w:rPr>
          <w:rFonts w:ascii="Arial" w:hAnsi="Arial" w:cs="Arial"/>
        </w:rPr>
      </w:pPr>
      <w:r w:rsidRPr="00A5614D">
        <w:rPr>
          <w:rFonts w:ascii="Arial" w:hAnsi="Arial" w:cs="Arial"/>
        </w:rPr>
        <w:t>Band 3 – members expended between 4</w:t>
      </w:r>
      <w:r w:rsidR="00377738">
        <w:rPr>
          <w:rFonts w:ascii="Arial" w:hAnsi="Arial" w:cs="Arial"/>
        </w:rPr>
        <w:t>6</w:t>
      </w:r>
      <w:r w:rsidRPr="00A5614D">
        <w:rPr>
          <w:rFonts w:ascii="Arial" w:hAnsi="Arial" w:cs="Arial"/>
        </w:rPr>
        <w:t xml:space="preserve">% and </w:t>
      </w:r>
      <w:r w:rsidR="00377738">
        <w:rPr>
          <w:rFonts w:ascii="Arial" w:hAnsi="Arial" w:cs="Arial"/>
        </w:rPr>
        <w:t>52</w:t>
      </w:r>
      <w:r w:rsidRPr="00A5614D">
        <w:rPr>
          <w:rFonts w:ascii="Arial" w:hAnsi="Arial" w:cs="Arial"/>
        </w:rPr>
        <w:t xml:space="preserve">%, with average expenditure of </w:t>
      </w:r>
      <w:r w:rsidR="00221040">
        <w:rPr>
          <w:rFonts w:ascii="Arial" w:hAnsi="Arial" w:cs="Arial"/>
        </w:rPr>
        <w:t>49</w:t>
      </w:r>
      <w:r w:rsidRPr="00A5614D">
        <w:rPr>
          <w:rFonts w:ascii="Arial" w:hAnsi="Arial" w:cs="Arial"/>
        </w:rPr>
        <w:t xml:space="preserve">%, and </w:t>
      </w:r>
    </w:p>
    <w:p w14:paraId="4684334E" w14:textId="7B989BC1" w:rsidR="007174AC" w:rsidRPr="00A5614D" w:rsidRDefault="007174AC" w:rsidP="00A5614D">
      <w:pPr>
        <w:pStyle w:val="ListParagraph"/>
        <w:numPr>
          <w:ilvl w:val="0"/>
          <w:numId w:val="107"/>
        </w:numPr>
        <w:spacing w:after="120" w:line="276" w:lineRule="auto"/>
        <w:ind w:left="714" w:hanging="357"/>
        <w:contextualSpacing w:val="0"/>
        <w:jc w:val="both"/>
        <w:rPr>
          <w:rFonts w:ascii="Arial" w:hAnsi="Arial" w:cs="Arial"/>
        </w:rPr>
      </w:pPr>
      <w:r w:rsidRPr="00A5614D">
        <w:rPr>
          <w:rFonts w:ascii="Arial" w:hAnsi="Arial" w:cs="Arial"/>
        </w:rPr>
        <w:t>Band 4 – members expended between 3</w:t>
      </w:r>
      <w:r w:rsidR="00EB7CE6">
        <w:rPr>
          <w:rFonts w:ascii="Arial" w:hAnsi="Arial" w:cs="Arial"/>
        </w:rPr>
        <w:t>0</w:t>
      </w:r>
      <w:r w:rsidRPr="00A5614D">
        <w:rPr>
          <w:rFonts w:ascii="Arial" w:hAnsi="Arial" w:cs="Arial"/>
        </w:rPr>
        <w:t>% and 1</w:t>
      </w:r>
      <w:r w:rsidR="00BD7E4E">
        <w:rPr>
          <w:rFonts w:ascii="Arial" w:hAnsi="Arial" w:cs="Arial"/>
        </w:rPr>
        <w:t>02</w:t>
      </w:r>
      <w:r w:rsidRPr="00A5614D">
        <w:rPr>
          <w:rFonts w:ascii="Arial" w:hAnsi="Arial" w:cs="Arial"/>
        </w:rPr>
        <w:t xml:space="preserve">%, with average expenditure of </w:t>
      </w:r>
      <w:r w:rsidR="00755352">
        <w:rPr>
          <w:rFonts w:ascii="Arial" w:hAnsi="Arial" w:cs="Arial"/>
        </w:rPr>
        <w:t>7</w:t>
      </w:r>
      <w:r w:rsidRPr="00A5614D">
        <w:rPr>
          <w:rFonts w:ascii="Arial" w:hAnsi="Arial" w:cs="Arial"/>
        </w:rPr>
        <w:t xml:space="preserve">3%. </w:t>
      </w:r>
    </w:p>
    <w:p w14:paraId="662CA4D6" w14:textId="77777777" w:rsidR="00A27A74" w:rsidRPr="0016570A" w:rsidRDefault="00A27A74" w:rsidP="008125D1">
      <w:pPr>
        <w:spacing w:before="200" w:after="200" w:line="276" w:lineRule="auto"/>
        <w:jc w:val="both"/>
        <w:rPr>
          <w:rFonts w:ascii="Arial" w:eastAsia="Calibri" w:hAnsi="Arial" w:cs="Arial"/>
          <w:bCs/>
          <w:u w:val="single"/>
        </w:rPr>
      </w:pPr>
      <w:bookmarkStart w:id="0" w:name="_Toc87440670"/>
      <w:bookmarkStart w:id="1" w:name="_Toc87284377"/>
      <w:bookmarkStart w:id="2" w:name="_Toc87440672"/>
      <w:bookmarkEnd w:id="0"/>
      <w:bookmarkEnd w:id="1"/>
      <w:bookmarkEnd w:id="2"/>
      <w:r w:rsidRPr="0016570A">
        <w:rPr>
          <w:rFonts w:ascii="Arial" w:eastAsia="Calibri" w:hAnsi="Arial" w:cs="Arial"/>
          <w:bCs/>
          <w:u w:val="single"/>
        </w:rPr>
        <w:t>Band 4 Members</w:t>
      </w:r>
    </w:p>
    <w:p w14:paraId="11973015" w14:textId="0BEC8A8F" w:rsidR="00785321" w:rsidRPr="008125D1" w:rsidRDefault="00785321" w:rsidP="005D18AC">
      <w:pPr>
        <w:spacing w:before="200" w:after="200" w:line="276" w:lineRule="auto"/>
        <w:jc w:val="both"/>
        <w:rPr>
          <w:rFonts w:ascii="Arial" w:eastAsia="Calibri" w:hAnsi="Arial" w:cs="Arial"/>
          <w:bCs/>
        </w:rPr>
      </w:pPr>
      <w:r>
        <w:rPr>
          <w:rFonts w:ascii="Arial" w:eastAsia="Calibri" w:hAnsi="Arial" w:cs="Arial"/>
        </w:rPr>
        <w:t>In Determination 18/</w:t>
      </w:r>
      <w:r w:rsidRPr="008125D1">
        <w:rPr>
          <w:rFonts w:ascii="Arial" w:eastAsia="Calibri" w:hAnsi="Arial" w:cs="Arial"/>
          <w:bCs/>
        </w:rPr>
        <w:t xml:space="preserve">2018, the Tribunal committed to monitoring the GTA claims of the four members in Band 4 </w:t>
      </w:r>
      <w:r w:rsidR="003A071F" w:rsidRPr="008125D1">
        <w:rPr>
          <w:rFonts w:ascii="Arial" w:eastAsia="Calibri" w:hAnsi="Arial" w:cs="Arial"/>
          <w:bCs/>
        </w:rPr>
        <w:t xml:space="preserve">(Warrego, Cook, Gregory and Traeger) </w:t>
      </w:r>
      <w:r w:rsidRPr="008125D1">
        <w:rPr>
          <w:rFonts w:ascii="Arial" w:eastAsia="Calibri" w:hAnsi="Arial" w:cs="Arial"/>
          <w:bCs/>
        </w:rPr>
        <w:t xml:space="preserve">to ensure the quantum of the GTA is adequate. </w:t>
      </w:r>
    </w:p>
    <w:p w14:paraId="701C62E1" w14:textId="282F8109" w:rsidR="00785321" w:rsidRPr="008125D1" w:rsidRDefault="00785321" w:rsidP="005D18AC">
      <w:pPr>
        <w:spacing w:before="200" w:after="200" w:line="276" w:lineRule="auto"/>
        <w:jc w:val="both"/>
        <w:rPr>
          <w:rFonts w:ascii="Arial" w:eastAsia="Calibri" w:hAnsi="Arial" w:cs="Arial"/>
          <w:bCs/>
        </w:rPr>
      </w:pPr>
      <w:r w:rsidRPr="008125D1">
        <w:rPr>
          <w:rFonts w:ascii="Arial" w:eastAsia="Calibri" w:hAnsi="Arial" w:cs="Arial"/>
          <w:bCs/>
        </w:rPr>
        <w:t>In 2020-21, members</w:t>
      </w:r>
      <w:r w:rsidR="00A27A74" w:rsidRPr="008125D1">
        <w:rPr>
          <w:rFonts w:ascii="Arial" w:eastAsia="Calibri" w:hAnsi="Arial" w:cs="Arial"/>
          <w:bCs/>
        </w:rPr>
        <w:t xml:space="preserve"> in Band 4</w:t>
      </w:r>
      <w:r w:rsidRPr="008125D1">
        <w:rPr>
          <w:rFonts w:ascii="Arial" w:eastAsia="Calibri" w:hAnsi="Arial" w:cs="Arial"/>
          <w:bCs/>
        </w:rPr>
        <w:t xml:space="preserve"> claimed between 30% and 102% of their GTA</w:t>
      </w:r>
      <w:r w:rsidR="000C24B8">
        <w:rPr>
          <w:rFonts w:ascii="Arial" w:eastAsia="Calibri" w:hAnsi="Arial" w:cs="Arial"/>
          <w:bCs/>
        </w:rPr>
        <w:t xml:space="preserve"> with an average spend</w:t>
      </w:r>
      <w:r w:rsidR="00E863F9">
        <w:rPr>
          <w:rFonts w:ascii="Arial" w:eastAsia="Calibri" w:hAnsi="Arial" w:cs="Arial"/>
          <w:bCs/>
        </w:rPr>
        <w:t xml:space="preserve"> </w:t>
      </w:r>
      <w:r w:rsidR="001E6FE5">
        <w:rPr>
          <w:rFonts w:ascii="Arial" w:eastAsia="Calibri" w:hAnsi="Arial" w:cs="Arial"/>
          <w:bCs/>
        </w:rPr>
        <w:t>of $58,</w:t>
      </w:r>
      <w:r w:rsidR="00C05583">
        <w:rPr>
          <w:rFonts w:ascii="Arial" w:eastAsia="Calibri" w:hAnsi="Arial" w:cs="Arial"/>
          <w:bCs/>
        </w:rPr>
        <w:t>400</w:t>
      </w:r>
      <w:r w:rsidRPr="008125D1">
        <w:rPr>
          <w:rFonts w:ascii="Arial" w:eastAsia="Calibri" w:hAnsi="Arial" w:cs="Arial"/>
          <w:bCs/>
        </w:rPr>
        <w:t xml:space="preserve">. </w:t>
      </w:r>
    </w:p>
    <w:p w14:paraId="267614EC" w14:textId="6B3E3845" w:rsidR="00785321" w:rsidRPr="008125D1" w:rsidRDefault="00785321" w:rsidP="005D18AC">
      <w:pPr>
        <w:spacing w:before="200" w:after="200" w:line="276" w:lineRule="auto"/>
        <w:jc w:val="both"/>
        <w:rPr>
          <w:rFonts w:ascii="Arial" w:eastAsia="Calibri" w:hAnsi="Arial" w:cs="Arial"/>
          <w:bCs/>
        </w:rPr>
      </w:pPr>
      <w:r w:rsidRPr="008125D1">
        <w:rPr>
          <w:rFonts w:ascii="Arial" w:eastAsia="Calibri" w:hAnsi="Arial" w:cs="Arial"/>
          <w:bCs/>
        </w:rPr>
        <w:t xml:space="preserve">The Members for Cook and Gregory claimed significantly less from their GTA in </w:t>
      </w:r>
      <w:r w:rsidRPr="5930F867">
        <w:rPr>
          <w:rFonts w:ascii="Arial" w:eastAsia="Calibri" w:hAnsi="Arial" w:cs="Arial"/>
        </w:rPr>
        <w:t>2020</w:t>
      </w:r>
      <w:r w:rsidR="001F2544">
        <w:rPr>
          <w:rFonts w:ascii="Arial" w:eastAsia="Calibri" w:hAnsi="Arial" w:cs="Arial"/>
        </w:rPr>
        <w:t>-</w:t>
      </w:r>
      <w:r w:rsidRPr="5930F867">
        <w:rPr>
          <w:rFonts w:ascii="Arial" w:eastAsia="Calibri" w:hAnsi="Arial" w:cs="Arial"/>
        </w:rPr>
        <w:t>21</w:t>
      </w:r>
      <w:r w:rsidRPr="008125D1">
        <w:rPr>
          <w:rFonts w:ascii="Arial" w:eastAsia="Calibri" w:hAnsi="Arial" w:cs="Arial"/>
          <w:bCs/>
        </w:rPr>
        <w:t xml:space="preserve"> than prior to the COVID-19 pandemic, while the Members for Traeger and Warrego have expended a similar proportion of their GTA. </w:t>
      </w:r>
    </w:p>
    <w:p w14:paraId="7966A4C1" w14:textId="6CB8BC07" w:rsidR="00BE7028" w:rsidRPr="00BE7028" w:rsidRDefault="00785321" w:rsidP="005D18AC">
      <w:pPr>
        <w:spacing w:before="200" w:after="200" w:line="276" w:lineRule="auto"/>
        <w:jc w:val="both"/>
        <w:rPr>
          <w:rFonts w:ascii="Arial" w:eastAsia="Calibri" w:hAnsi="Arial" w:cs="Arial"/>
          <w:bCs/>
        </w:rPr>
      </w:pPr>
      <w:r w:rsidRPr="008125D1">
        <w:rPr>
          <w:rFonts w:ascii="Arial" w:eastAsia="Calibri" w:hAnsi="Arial" w:cs="Arial"/>
          <w:bCs/>
        </w:rPr>
        <w:t xml:space="preserve">Both the Member for Traeger and the Member for Warrego have claimed a significant proportion of their GTA on airfares with the Member for Traeger claiming 76% ($60,670) and Member for Warrego claiming 84% ($66,887) of their GTA of $79,700. </w:t>
      </w:r>
      <w:r w:rsidR="007417E5">
        <w:rPr>
          <w:rFonts w:ascii="Arial" w:eastAsia="Calibri" w:hAnsi="Arial" w:cs="Arial"/>
          <w:bCs/>
        </w:rPr>
        <w:t xml:space="preserve">Both </w:t>
      </w:r>
      <w:r w:rsidR="00684B98">
        <w:rPr>
          <w:rFonts w:ascii="Arial" w:eastAsia="Calibri" w:hAnsi="Arial" w:cs="Arial"/>
          <w:bCs/>
        </w:rPr>
        <w:t>m</w:t>
      </w:r>
      <w:r w:rsidR="00BE7028" w:rsidRPr="00BE7028">
        <w:rPr>
          <w:rFonts w:ascii="Arial" w:eastAsia="Calibri" w:hAnsi="Arial" w:cs="Arial"/>
          <w:bCs/>
        </w:rPr>
        <w:t>embers have private aircraft which they use for travel</w:t>
      </w:r>
      <w:r w:rsidR="00C63D49">
        <w:rPr>
          <w:rFonts w:ascii="Arial" w:eastAsia="Calibri" w:hAnsi="Arial" w:cs="Arial"/>
          <w:bCs/>
        </w:rPr>
        <w:t xml:space="preserve"> </w:t>
      </w:r>
      <w:proofErr w:type="gramStart"/>
      <w:r w:rsidR="00C63D49">
        <w:rPr>
          <w:rFonts w:ascii="Arial" w:eastAsia="Calibri" w:hAnsi="Arial" w:cs="Arial"/>
          <w:bCs/>
        </w:rPr>
        <w:t>and also</w:t>
      </w:r>
      <w:proofErr w:type="gramEnd"/>
      <w:r w:rsidR="00BE7028" w:rsidRPr="00BE7028">
        <w:rPr>
          <w:rFonts w:ascii="Arial" w:eastAsia="Calibri" w:hAnsi="Arial" w:cs="Arial"/>
          <w:bCs/>
        </w:rPr>
        <w:t xml:space="preserve"> make use of charter flights and commercial flights when available. All types of air travel fall under the category of ‘</w:t>
      </w:r>
      <w:proofErr w:type="gramStart"/>
      <w:r w:rsidR="00BE7028" w:rsidRPr="00BE7028">
        <w:rPr>
          <w:rFonts w:ascii="Arial" w:eastAsia="Calibri" w:hAnsi="Arial" w:cs="Arial"/>
          <w:bCs/>
        </w:rPr>
        <w:t>airfares’</w:t>
      </w:r>
      <w:proofErr w:type="gramEnd"/>
      <w:r w:rsidR="007417E5">
        <w:rPr>
          <w:rFonts w:ascii="Arial" w:eastAsia="Calibri" w:hAnsi="Arial" w:cs="Arial"/>
          <w:bCs/>
        </w:rPr>
        <w:t xml:space="preserve"> and t</w:t>
      </w:r>
      <w:r w:rsidR="00BE7028" w:rsidRPr="00BE7028">
        <w:rPr>
          <w:rFonts w:ascii="Arial" w:eastAsia="Calibri" w:hAnsi="Arial" w:cs="Arial"/>
          <w:bCs/>
        </w:rPr>
        <w:t xml:space="preserve">he higher costs associated with maintaining and using a private aircraft and charter flights may </w:t>
      </w:r>
      <w:r w:rsidR="007C6E4B">
        <w:rPr>
          <w:rFonts w:ascii="Arial" w:eastAsia="Calibri" w:hAnsi="Arial" w:cs="Arial"/>
          <w:bCs/>
        </w:rPr>
        <w:t>account for</w:t>
      </w:r>
      <w:r w:rsidR="007C6E4B" w:rsidRPr="00BE7028">
        <w:rPr>
          <w:rFonts w:ascii="Arial" w:eastAsia="Calibri" w:hAnsi="Arial" w:cs="Arial"/>
          <w:bCs/>
        </w:rPr>
        <w:t xml:space="preserve"> </w:t>
      </w:r>
      <w:r w:rsidR="008875F7">
        <w:rPr>
          <w:rFonts w:ascii="Arial" w:eastAsia="Calibri" w:hAnsi="Arial" w:cs="Arial"/>
          <w:bCs/>
        </w:rPr>
        <w:t>those</w:t>
      </w:r>
      <w:r w:rsidR="00BE7028" w:rsidRPr="00BE7028">
        <w:rPr>
          <w:rFonts w:ascii="Arial" w:eastAsia="Calibri" w:hAnsi="Arial" w:cs="Arial"/>
          <w:bCs/>
        </w:rPr>
        <w:t xml:space="preserve"> </w:t>
      </w:r>
      <w:r w:rsidR="00684B98">
        <w:rPr>
          <w:rFonts w:ascii="Arial" w:eastAsia="Calibri" w:hAnsi="Arial" w:cs="Arial"/>
          <w:bCs/>
        </w:rPr>
        <w:t>m</w:t>
      </w:r>
      <w:r w:rsidR="00BE7028" w:rsidRPr="00BE7028">
        <w:rPr>
          <w:rFonts w:ascii="Arial" w:eastAsia="Calibri" w:hAnsi="Arial" w:cs="Arial"/>
          <w:bCs/>
        </w:rPr>
        <w:t>embers claim</w:t>
      </w:r>
      <w:r w:rsidR="008875F7">
        <w:rPr>
          <w:rFonts w:ascii="Arial" w:eastAsia="Calibri" w:hAnsi="Arial" w:cs="Arial"/>
          <w:bCs/>
        </w:rPr>
        <w:t>ing</w:t>
      </w:r>
      <w:r w:rsidR="00BE7028" w:rsidRPr="00BE7028">
        <w:rPr>
          <w:rFonts w:ascii="Arial" w:eastAsia="Calibri" w:hAnsi="Arial" w:cs="Arial"/>
          <w:bCs/>
        </w:rPr>
        <w:t xml:space="preserve"> a high</w:t>
      </w:r>
      <w:r w:rsidR="007417E5">
        <w:rPr>
          <w:rFonts w:ascii="Arial" w:eastAsia="Calibri" w:hAnsi="Arial" w:cs="Arial"/>
          <w:bCs/>
        </w:rPr>
        <w:t>er</w:t>
      </w:r>
      <w:r w:rsidR="00BE7028" w:rsidRPr="00BE7028">
        <w:rPr>
          <w:rFonts w:ascii="Arial" w:eastAsia="Calibri" w:hAnsi="Arial" w:cs="Arial"/>
          <w:bCs/>
        </w:rPr>
        <w:t xml:space="preserve"> proportion of their GTA on airfares. </w:t>
      </w:r>
    </w:p>
    <w:p w14:paraId="0BE24062" w14:textId="77777777" w:rsidR="00661FF6" w:rsidRDefault="00BE7028" w:rsidP="00661FF6">
      <w:pPr>
        <w:spacing w:before="200" w:after="200" w:line="276" w:lineRule="auto"/>
        <w:jc w:val="both"/>
        <w:rPr>
          <w:rFonts w:ascii="Arial" w:eastAsia="Calibri" w:hAnsi="Arial" w:cs="Arial"/>
          <w:bCs/>
        </w:rPr>
      </w:pPr>
      <w:r w:rsidRPr="00BE7028">
        <w:rPr>
          <w:rFonts w:ascii="Arial" w:eastAsia="Calibri" w:hAnsi="Arial" w:cs="Arial"/>
          <w:bCs/>
        </w:rPr>
        <w:t xml:space="preserve">In addition, the Member for Warrego is an Opposition Shadow Minister and the Member for Traeger is the leader of a minor party which may contribute to the higher amount of travel claimed from their GTA. </w:t>
      </w:r>
    </w:p>
    <w:p w14:paraId="0DFA5436" w14:textId="4B23AC22" w:rsidR="00785321" w:rsidRDefault="00785321" w:rsidP="00661FF6">
      <w:pPr>
        <w:spacing w:before="200" w:after="200" w:line="276" w:lineRule="auto"/>
        <w:jc w:val="both"/>
        <w:rPr>
          <w:rFonts w:ascii="Arial" w:eastAsia="Calibri" w:hAnsi="Arial" w:cs="Arial"/>
          <w:bCs/>
        </w:rPr>
      </w:pPr>
      <w:r w:rsidRPr="008125D1">
        <w:rPr>
          <w:rFonts w:ascii="Arial" w:eastAsia="Calibri" w:hAnsi="Arial" w:cs="Arial"/>
          <w:bCs/>
        </w:rPr>
        <w:lastRenderedPageBreak/>
        <w:t xml:space="preserve">Comparatively, the Member for Cook had the next highest dollar amount of their GTA claimed for airfares equating to 15% ($12,000) followed by the Member for Surfers Paradise (Band 1) who spent 63% ($11,600) of their GTA on airfares. </w:t>
      </w:r>
    </w:p>
    <w:p w14:paraId="6BE7FD36" w14:textId="75BE2C9E" w:rsidR="00683EAF" w:rsidRPr="00152704" w:rsidRDefault="00683EAF" w:rsidP="00683EAF">
      <w:pPr>
        <w:rPr>
          <w:rFonts w:ascii="Arial" w:hAnsi="Arial" w:cs="Arial"/>
          <w:sz w:val="23"/>
          <w:szCs w:val="23"/>
        </w:rPr>
      </w:pPr>
      <w:r w:rsidRPr="00152704">
        <w:rPr>
          <w:rFonts w:ascii="Arial" w:hAnsi="Arial" w:cs="Arial"/>
          <w:sz w:val="23"/>
          <w:szCs w:val="23"/>
        </w:rPr>
        <w:t xml:space="preserve">The Tribunal </w:t>
      </w:r>
      <w:r w:rsidR="00CF5576">
        <w:rPr>
          <w:rFonts w:ascii="Arial" w:hAnsi="Arial" w:cs="Arial"/>
          <w:sz w:val="23"/>
          <w:szCs w:val="23"/>
        </w:rPr>
        <w:t xml:space="preserve">decided that the </w:t>
      </w:r>
      <w:r w:rsidR="003877F5">
        <w:rPr>
          <w:rFonts w:ascii="Arial" w:hAnsi="Arial" w:cs="Arial"/>
          <w:sz w:val="23"/>
          <w:szCs w:val="23"/>
        </w:rPr>
        <w:t xml:space="preserve">quantum of the GTA is </w:t>
      </w:r>
      <w:r w:rsidR="00EA3504">
        <w:rPr>
          <w:rFonts w:ascii="Arial" w:hAnsi="Arial" w:cs="Arial"/>
          <w:sz w:val="23"/>
          <w:szCs w:val="23"/>
        </w:rPr>
        <w:t>adequate</w:t>
      </w:r>
      <w:r w:rsidR="007344A1">
        <w:rPr>
          <w:rFonts w:ascii="Arial" w:hAnsi="Arial" w:cs="Arial"/>
          <w:sz w:val="23"/>
          <w:szCs w:val="23"/>
        </w:rPr>
        <w:t xml:space="preserve"> </w:t>
      </w:r>
      <w:r w:rsidR="00977933">
        <w:rPr>
          <w:rFonts w:ascii="Arial" w:hAnsi="Arial" w:cs="Arial"/>
          <w:sz w:val="23"/>
          <w:szCs w:val="23"/>
        </w:rPr>
        <w:t xml:space="preserve">at this time </w:t>
      </w:r>
      <w:r w:rsidR="007344A1">
        <w:rPr>
          <w:rFonts w:ascii="Arial" w:hAnsi="Arial" w:cs="Arial"/>
          <w:sz w:val="23"/>
          <w:szCs w:val="23"/>
        </w:rPr>
        <w:t>and</w:t>
      </w:r>
      <w:r w:rsidR="00E251B4">
        <w:rPr>
          <w:rFonts w:ascii="Arial" w:hAnsi="Arial" w:cs="Arial"/>
          <w:sz w:val="23"/>
          <w:szCs w:val="23"/>
        </w:rPr>
        <w:t xml:space="preserve"> </w:t>
      </w:r>
      <w:r w:rsidRPr="00152704">
        <w:rPr>
          <w:rFonts w:ascii="Arial" w:hAnsi="Arial" w:cs="Arial"/>
          <w:sz w:val="23"/>
          <w:szCs w:val="23"/>
        </w:rPr>
        <w:t xml:space="preserve">will continue to monitor expenditure against all bands to ensure the </w:t>
      </w:r>
      <w:r w:rsidR="00947EA7" w:rsidRPr="00152704">
        <w:rPr>
          <w:rFonts w:ascii="Arial" w:hAnsi="Arial" w:cs="Arial"/>
          <w:sz w:val="23"/>
          <w:szCs w:val="23"/>
        </w:rPr>
        <w:t xml:space="preserve">allocation </w:t>
      </w:r>
      <w:r w:rsidR="00947EA7">
        <w:rPr>
          <w:rFonts w:ascii="Arial" w:hAnsi="Arial" w:cs="Arial"/>
          <w:sz w:val="23"/>
          <w:szCs w:val="23"/>
        </w:rPr>
        <w:t>is sufficient</w:t>
      </w:r>
      <w:r w:rsidRPr="00152704">
        <w:rPr>
          <w:rFonts w:ascii="Arial" w:hAnsi="Arial" w:cs="Arial"/>
          <w:sz w:val="23"/>
          <w:szCs w:val="23"/>
        </w:rPr>
        <w:t>.</w:t>
      </w:r>
    </w:p>
    <w:p w14:paraId="71EEF39E" w14:textId="77777777" w:rsidR="00E86236" w:rsidRPr="008125D1" w:rsidRDefault="00E86236" w:rsidP="00947EA7">
      <w:pPr>
        <w:pStyle w:val="Subtitle"/>
        <w:keepNext/>
        <w:keepLines/>
        <w:spacing w:before="200" w:after="200" w:line="257" w:lineRule="auto"/>
        <w:rPr>
          <w:rFonts w:ascii="Arial" w:hAnsi="Arial" w:cs="Arial"/>
          <w:i w:val="0"/>
          <w:iCs w:val="0"/>
        </w:rPr>
      </w:pPr>
      <w:r w:rsidRPr="008125D1">
        <w:rPr>
          <w:rFonts w:ascii="Arial" w:hAnsi="Arial" w:cs="Arial"/>
          <w:sz w:val="22"/>
          <w:szCs w:val="22"/>
        </w:rPr>
        <w:t>Daily Travel Allowance (DTA)</w:t>
      </w:r>
    </w:p>
    <w:p w14:paraId="1090B314" w14:textId="77777777" w:rsidR="00E86236" w:rsidRPr="000D20B1" w:rsidRDefault="00E86236" w:rsidP="005D18AC">
      <w:pPr>
        <w:spacing w:before="200" w:after="120" w:line="276" w:lineRule="auto"/>
        <w:jc w:val="both"/>
        <w:rPr>
          <w:rFonts w:ascii="Arial" w:eastAsia="Calibri" w:hAnsi="Arial" w:cs="Arial"/>
        </w:rPr>
      </w:pPr>
      <w:r w:rsidRPr="008125D1">
        <w:rPr>
          <w:rFonts w:ascii="Arial" w:eastAsia="Calibri" w:hAnsi="Arial" w:cs="Arial"/>
          <w:bCs/>
        </w:rPr>
        <w:t>The curre</w:t>
      </w:r>
      <w:r>
        <w:rPr>
          <w:rFonts w:ascii="Arial" w:eastAsia="Calibri" w:hAnsi="Arial" w:cs="Arial"/>
        </w:rPr>
        <w:t xml:space="preserve">nt DTA rate </w:t>
      </w:r>
      <w:r w:rsidRPr="000D20B1">
        <w:rPr>
          <w:rFonts w:ascii="Arial" w:eastAsia="Calibri" w:hAnsi="Arial" w:cs="Arial"/>
        </w:rPr>
        <w:t>claimable from the GTA for overnight stays is:</w:t>
      </w:r>
    </w:p>
    <w:p w14:paraId="1A32CEB9" w14:textId="77777777" w:rsidR="00E86236" w:rsidRPr="00276271" w:rsidRDefault="00E86236" w:rsidP="00B728B4">
      <w:pPr>
        <w:pStyle w:val="Revision"/>
        <w:numPr>
          <w:ilvl w:val="0"/>
          <w:numId w:val="110"/>
        </w:numPr>
        <w:spacing w:before="120" w:after="120" w:line="276" w:lineRule="auto"/>
        <w:ind w:left="714" w:hanging="357"/>
        <w:jc w:val="both"/>
        <w:rPr>
          <w:rFonts w:ascii="Arial" w:eastAsia="Calibri" w:hAnsi="Arial" w:cs="Arial"/>
        </w:rPr>
      </w:pPr>
      <w:r w:rsidRPr="00276271">
        <w:rPr>
          <w:rFonts w:ascii="Arial" w:eastAsia="Calibri" w:hAnsi="Arial" w:cs="Arial"/>
        </w:rPr>
        <w:t xml:space="preserve">$399 per day for State and Territory capital cities within Australia, as well as Wellington in New Zealand and Port Moresby in Papua New Guinea </w:t>
      </w:r>
    </w:p>
    <w:p w14:paraId="2A315B7C" w14:textId="77777777" w:rsidR="00475BA6" w:rsidRDefault="00E86236" w:rsidP="00B728B4">
      <w:pPr>
        <w:pStyle w:val="Revision"/>
        <w:numPr>
          <w:ilvl w:val="0"/>
          <w:numId w:val="110"/>
        </w:numPr>
        <w:spacing w:before="120" w:after="200" w:line="276" w:lineRule="auto"/>
        <w:ind w:left="714" w:hanging="357"/>
        <w:jc w:val="both"/>
        <w:rPr>
          <w:rFonts w:ascii="Arial" w:eastAsia="Calibri" w:hAnsi="Arial" w:cs="Arial"/>
        </w:rPr>
      </w:pPr>
      <w:r w:rsidRPr="00276271">
        <w:rPr>
          <w:rFonts w:ascii="Arial" w:eastAsia="Calibri" w:hAnsi="Arial" w:cs="Arial"/>
        </w:rPr>
        <w:t xml:space="preserve">$284 per day for all other destinations. </w:t>
      </w:r>
    </w:p>
    <w:p w14:paraId="66936AD4" w14:textId="115C60F4" w:rsidR="00475BA6" w:rsidRPr="00D71DAD" w:rsidRDefault="00301774" w:rsidP="00A77BF9">
      <w:pPr>
        <w:pStyle w:val="Revision"/>
        <w:spacing w:before="120" w:after="200" w:line="276" w:lineRule="auto"/>
        <w:jc w:val="both"/>
        <w:rPr>
          <w:rFonts w:ascii="Arial" w:eastAsia="Calibri" w:hAnsi="Arial" w:cs="Arial"/>
          <w:u w:val="single"/>
        </w:rPr>
      </w:pPr>
      <w:r w:rsidRPr="00A77BF9">
        <w:rPr>
          <w:rFonts w:ascii="Arial" w:eastAsia="Calibri" w:hAnsi="Arial" w:cs="Arial"/>
          <w:u w:val="single"/>
        </w:rPr>
        <w:t>Table 5: DTA</w:t>
      </w:r>
      <w:r w:rsidR="00396ADD">
        <w:rPr>
          <w:rFonts w:ascii="Arial" w:eastAsia="Calibri" w:hAnsi="Arial" w:cs="Arial"/>
          <w:u w:val="single"/>
        </w:rPr>
        <w:t xml:space="preserve"> Expenditure</w:t>
      </w:r>
      <w:r w:rsidR="0026156B">
        <w:rPr>
          <w:rFonts w:ascii="Arial" w:eastAsia="Calibri" w:hAnsi="Arial" w:cs="Arial"/>
          <w:u w:val="single"/>
        </w:rPr>
        <w:t xml:space="preserve"> and proportion of expenditure against the ECA</w:t>
      </w:r>
    </w:p>
    <w:tbl>
      <w:tblPr>
        <w:tblStyle w:val="TableGrid"/>
        <w:tblW w:w="0" w:type="auto"/>
        <w:jc w:val="center"/>
        <w:tblInd w:w="0" w:type="dxa"/>
        <w:tblLook w:val="04A0" w:firstRow="1" w:lastRow="0" w:firstColumn="1" w:lastColumn="0" w:noHBand="0" w:noVBand="1"/>
      </w:tblPr>
      <w:tblGrid>
        <w:gridCol w:w="1555"/>
        <w:gridCol w:w="2457"/>
        <w:gridCol w:w="2457"/>
        <w:gridCol w:w="2457"/>
      </w:tblGrid>
      <w:tr w:rsidR="00CC2856" w:rsidRPr="003B1E39" w14:paraId="07781C62" w14:textId="77777777" w:rsidTr="00FE399C">
        <w:trPr>
          <w:trHeight w:val="364"/>
          <w:jc w:val="center"/>
        </w:trPr>
        <w:tc>
          <w:tcPr>
            <w:tcW w:w="1555" w:type="dxa"/>
            <w:shd w:val="clear" w:color="auto" w:fill="8EAADB" w:themeFill="accent1" w:themeFillTint="99"/>
          </w:tcPr>
          <w:p w14:paraId="3A72FDAE" w14:textId="77777777" w:rsidR="00CC2856" w:rsidRPr="005D18AC" w:rsidRDefault="00CC2856" w:rsidP="0048734D">
            <w:pPr>
              <w:spacing w:line="276" w:lineRule="auto"/>
              <w:rPr>
                <w:rFonts w:ascii="Arial" w:eastAsia="Calibri" w:hAnsi="Arial" w:cs="Arial"/>
                <w:bCs/>
              </w:rPr>
            </w:pPr>
          </w:p>
        </w:tc>
        <w:tc>
          <w:tcPr>
            <w:tcW w:w="2457" w:type="dxa"/>
            <w:shd w:val="clear" w:color="auto" w:fill="8EAADB" w:themeFill="accent1" w:themeFillTint="99"/>
            <w:vAlign w:val="center"/>
          </w:tcPr>
          <w:p w14:paraId="687AD406" w14:textId="77777777" w:rsidR="00CC2856" w:rsidRPr="003B1E39" w:rsidRDefault="00CC2856" w:rsidP="0048734D">
            <w:pPr>
              <w:spacing w:line="276" w:lineRule="auto"/>
              <w:jc w:val="center"/>
              <w:rPr>
                <w:rFonts w:ascii="Arial" w:eastAsia="Calibri" w:hAnsi="Arial" w:cs="Arial"/>
                <w:b/>
              </w:rPr>
            </w:pPr>
            <w:r w:rsidRPr="003B1E39">
              <w:rPr>
                <w:rFonts w:ascii="Arial" w:eastAsia="Calibri" w:hAnsi="Arial" w:cs="Arial"/>
                <w:b/>
              </w:rPr>
              <w:t>2018-19</w:t>
            </w:r>
          </w:p>
        </w:tc>
        <w:tc>
          <w:tcPr>
            <w:tcW w:w="2457" w:type="dxa"/>
            <w:shd w:val="clear" w:color="auto" w:fill="8EAADB" w:themeFill="accent1" w:themeFillTint="99"/>
            <w:vAlign w:val="center"/>
          </w:tcPr>
          <w:p w14:paraId="4B24E5E3" w14:textId="77777777" w:rsidR="00CC2856" w:rsidRPr="003B1E39" w:rsidRDefault="00CC2856" w:rsidP="0048734D">
            <w:pPr>
              <w:spacing w:line="276" w:lineRule="auto"/>
              <w:jc w:val="center"/>
              <w:rPr>
                <w:rFonts w:ascii="Arial" w:eastAsia="Calibri" w:hAnsi="Arial" w:cs="Arial"/>
                <w:b/>
              </w:rPr>
            </w:pPr>
            <w:r w:rsidRPr="003B1E39">
              <w:rPr>
                <w:rFonts w:ascii="Arial" w:eastAsia="Calibri" w:hAnsi="Arial" w:cs="Arial"/>
                <w:b/>
              </w:rPr>
              <w:t>2019-20</w:t>
            </w:r>
            <w:r>
              <w:rPr>
                <w:rFonts w:ascii="Arial" w:eastAsia="Calibri" w:hAnsi="Arial" w:cs="Arial"/>
                <w:b/>
              </w:rPr>
              <w:t xml:space="preserve"> </w:t>
            </w:r>
          </w:p>
        </w:tc>
        <w:tc>
          <w:tcPr>
            <w:tcW w:w="2457" w:type="dxa"/>
            <w:shd w:val="clear" w:color="auto" w:fill="8EAADB" w:themeFill="accent1" w:themeFillTint="99"/>
            <w:vAlign w:val="center"/>
          </w:tcPr>
          <w:p w14:paraId="61940B08" w14:textId="77777777" w:rsidR="00CC2856" w:rsidRPr="003B1E39" w:rsidRDefault="00CC2856" w:rsidP="0048734D">
            <w:pPr>
              <w:spacing w:line="276" w:lineRule="auto"/>
              <w:jc w:val="center"/>
              <w:rPr>
                <w:rFonts w:ascii="Arial" w:eastAsia="Calibri" w:hAnsi="Arial" w:cs="Arial"/>
                <w:b/>
              </w:rPr>
            </w:pPr>
            <w:r w:rsidRPr="003B1E39">
              <w:rPr>
                <w:rFonts w:ascii="Arial" w:eastAsia="Calibri" w:hAnsi="Arial" w:cs="Arial"/>
                <w:b/>
              </w:rPr>
              <w:t>2020-21</w:t>
            </w:r>
          </w:p>
        </w:tc>
      </w:tr>
      <w:tr w:rsidR="00CC2856" w:rsidRPr="003B1E39" w14:paraId="33A4DDCD" w14:textId="77777777" w:rsidTr="00FE399C">
        <w:trPr>
          <w:trHeight w:val="364"/>
          <w:jc w:val="center"/>
        </w:trPr>
        <w:tc>
          <w:tcPr>
            <w:tcW w:w="1555" w:type="dxa"/>
            <w:shd w:val="clear" w:color="auto" w:fill="D9E2F3" w:themeFill="accent1" w:themeFillTint="33"/>
            <w:vAlign w:val="center"/>
          </w:tcPr>
          <w:p w14:paraId="25E5935A" w14:textId="77777777" w:rsidR="00CC2856" w:rsidRPr="005D18AC" w:rsidRDefault="00CC2856" w:rsidP="0048734D">
            <w:pPr>
              <w:spacing w:line="276" w:lineRule="auto"/>
              <w:rPr>
                <w:rFonts w:ascii="Arial" w:eastAsia="Calibri" w:hAnsi="Arial" w:cs="Arial"/>
                <w:b/>
              </w:rPr>
            </w:pPr>
            <w:r w:rsidRPr="005D18AC">
              <w:rPr>
                <w:rFonts w:ascii="Arial" w:eastAsia="Calibri" w:hAnsi="Arial" w:cs="Arial"/>
                <w:b/>
              </w:rPr>
              <w:t>DTA</w:t>
            </w:r>
          </w:p>
        </w:tc>
        <w:tc>
          <w:tcPr>
            <w:tcW w:w="2457" w:type="dxa"/>
            <w:shd w:val="clear" w:color="auto" w:fill="auto"/>
            <w:vAlign w:val="center"/>
          </w:tcPr>
          <w:p w14:paraId="73529C90" w14:textId="6FDE6D5B" w:rsidR="00CC2856" w:rsidRPr="003B1E39" w:rsidRDefault="00CC2856" w:rsidP="0048734D">
            <w:pPr>
              <w:spacing w:line="276" w:lineRule="auto"/>
              <w:jc w:val="center"/>
              <w:rPr>
                <w:rFonts w:ascii="Arial" w:eastAsia="Calibri" w:hAnsi="Arial" w:cs="Arial"/>
                <w:bCs/>
              </w:rPr>
            </w:pPr>
            <w:r>
              <w:rPr>
                <w:rFonts w:ascii="Arial" w:eastAsia="Calibri" w:hAnsi="Arial" w:cs="Arial"/>
                <w:bCs/>
              </w:rPr>
              <w:t xml:space="preserve">$253,170 </w:t>
            </w:r>
            <w:r w:rsidR="0026156B">
              <w:rPr>
                <w:rFonts w:ascii="Arial" w:eastAsia="Calibri" w:hAnsi="Arial" w:cs="Arial"/>
                <w:bCs/>
              </w:rPr>
              <w:t>(29%)</w:t>
            </w:r>
          </w:p>
        </w:tc>
        <w:tc>
          <w:tcPr>
            <w:tcW w:w="2457" w:type="dxa"/>
            <w:shd w:val="clear" w:color="auto" w:fill="auto"/>
            <w:vAlign w:val="center"/>
          </w:tcPr>
          <w:p w14:paraId="434D3B58" w14:textId="202A4BFB" w:rsidR="00CC2856" w:rsidRPr="003B1E39" w:rsidRDefault="00CC2856" w:rsidP="0048734D">
            <w:pPr>
              <w:spacing w:line="276" w:lineRule="auto"/>
              <w:jc w:val="center"/>
              <w:rPr>
                <w:rFonts w:ascii="Arial" w:eastAsia="Calibri" w:hAnsi="Arial" w:cs="Arial"/>
                <w:bCs/>
              </w:rPr>
            </w:pPr>
            <w:r>
              <w:rPr>
                <w:rFonts w:ascii="Arial" w:eastAsia="Calibri" w:hAnsi="Arial" w:cs="Arial"/>
                <w:bCs/>
              </w:rPr>
              <w:t xml:space="preserve">$204,882 </w:t>
            </w:r>
            <w:r w:rsidR="0026156B">
              <w:rPr>
                <w:rFonts w:ascii="Arial" w:eastAsia="Calibri" w:hAnsi="Arial" w:cs="Arial"/>
                <w:bCs/>
              </w:rPr>
              <w:t>(35%)</w:t>
            </w:r>
          </w:p>
        </w:tc>
        <w:tc>
          <w:tcPr>
            <w:tcW w:w="2457" w:type="dxa"/>
            <w:shd w:val="clear" w:color="auto" w:fill="auto"/>
            <w:vAlign w:val="center"/>
          </w:tcPr>
          <w:p w14:paraId="04EA82B4" w14:textId="08CB9504" w:rsidR="00CC2856" w:rsidRPr="003B1E39" w:rsidRDefault="00CC2856" w:rsidP="0048734D">
            <w:pPr>
              <w:spacing w:line="276" w:lineRule="auto"/>
              <w:jc w:val="center"/>
              <w:rPr>
                <w:rFonts w:ascii="Arial" w:eastAsia="Calibri" w:hAnsi="Arial" w:cs="Arial"/>
                <w:bCs/>
              </w:rPr>
            </w:pPr>
            <w:r>
              <w:rPr>
                <w:rFonts w:ascii="Arial" w:eastAsia="Calibri" w:hAnsi="Arial" w:cs="Arial"/>
                <w:bCs/>
              </w:rPr>
              <w:t xml:space="preserve">$263,349 </w:t>
            </w:r>
            <w:r w:rsidR="0026156B">
              <w:rPr>
                <w:rFonts w:ascii="Arial" w:eastAsia="Calibri" w:hAnsi="Arial" w:cs="Arial"/>
                <w:bCs/>
              </w:rPr>
              <w:t>(38%)</w:t>
            </w:r>
          </w:p>
        </w:tc>
      </w:tr>
    </w:tbl>
    <w:p w14:paraId="1D2C6B87" w14:textId="773DC431" w:rsidR="004C4C94" w:rsidRPr="00276271" w:rsidRDefault="005D18AC" w:rsidP="005D18AC">
      <w:pPr>
        <w:pStyle w:val="Revision"/>
        <w:spacing w:before="200" w:after="200" w:line="276" w:lineRule="auto"/>
        <w:jc w:val="both"/>
        <w:rPr>
          <w:rFonts w:ascii="Arial" w:eastAsia="Calibri" w:hAnsi="Arial" w:cs="Arial"/>
        </w:rPr>
      </w:pPr>
      <w:r>
        <w:rPr>
          <w:rFonts w:ascii="Arial" w:eastAsia="Calibri" w:hAnsi="Arial" w:cs="Arial"/>
        </w:rPr>
        <w:t>As shown in Table 5, t</w:t>
      </w:r>
      <w:r w:rsidR="001E08EE">
        <w:rPr>
          <w:rFonts w:ascii="Arial" w:eastAsia="Calibri" w:hAnsi="Arial" w:cs="Arial"/>
        </w:rPr>
        <w:t xml:space="preserve">he </w:t>
      </w:r>
      <w:r w:rsidR="00A365E4">
        <w:rPr>
          <w:rFonts w:ascii="Arial" w:eastAsia="Calibri" w:hAnsi="Arial" w:cs="Arial"/>
        </w:rPr>
        <w:t xml:space="preserve">Annual </w:t>
      </w:r>
      <w:r w:rsidR="005B283D" w:rsidRPr="005B283D">
        <w:rPr>
          <w:rFonts w:ascii="Arial" w:eastAsia="Calibri" w:hAnsi="Arial" w:cs="Arial"/>
        </w:rPr>
        <w:t xml:space="preserve">Report </w:t>
      </w:r>
      <w:r w:rsidR="005B283D">
        <w:rPr>
          <w:rFonts w:ascii="Arial" w:eastAsia="Calibri" w:hAnsi="Arial" w:cs="Arial"/>
        </w:rPr>
        <w:t>for GTA</w:t>
      </w:r>
      <w:r w:rsidR="005B283D" w:rsidRPr="005B283D">
        <w:rPr>
          <w:rFonts w:ascii="Arial" w:eastAsia="Calibri" w:hAnsi="Arial" w:cs="Arial"/>
        </w:rPr>
        <w:t xml:space="preserve"> Expenditure</w:t>
      </w:r>
      <w:r w:rsidR="00776A4F">
        <w:rPr>
          <w:rFonts w:ascii="Arial" w:eastAsia="Calibri" w:hAnsi="Arial" w:cs="Arial"/>
        </w:rPr>
        <w:t xml:space="preserve"> </w:t>
      </w:r>
      <w:r w:rsidR="00B4714C">
        <w:rPr>
          <w:rFonts w:ascii="Arial" w:eastAsia="Calibri" w:hAnsi="Arial" w:cs="Arial"/>
        </w:rPr>
        <w:t xml:space="preserve">indicates that </w:t>
      </w:r>
      <w:r w:rsidR="001E08EE">
        <w:rPr>
          <w:rFonts w:ascii="Arial" w:eastAsia="Calibri" w:hAnsi="Arial" w:cs="Arial"/>
        </w:rPr>
        <w:t xml:space="preserve">DTA expenditure </w:t>
      </w:r>
      <w:r w:rsidR="00FD1753">
        <w:rPr>
          <w:rFonts w:ascii="Arial" w:eastAsia="Calibri" w:hAnsi="Arial" w:cs="Arial"/>
        </w:rPr>
        <w:t xml:space="preserve">has increased </w:t>
      </w:r>
      <w:r w:rsidR="009F258C">
        <w:rPr>
          <w:rFonts w:ascii="Arial" w:eastAsia="Calibri" w:hAnsi="Arial" w:cs="Arial"/>
        </w:rPr>
        <w:t xml:space="preserve">by 4% </w:t>
      </w:r>
      <w:r w:rsidR="00A26B76">
        <w:rPr>
          <w:rFonts w:ascii="Arial" w:eastAsia="Calibri" w:hAnsi="Arial" w:cs="Arial"/>
        </w:rPr>
        <w:t xml:space="preserve">from </w:t>
      </w:r>
      <w:r>
        <w:rPr>
          <w:rFonts w:ascii="Arial" w:eastAsia="Calibri" w:hAnsi="Arial" w:cs="Arial"/>
        </w:rPr>
        <w:t xml:space="preserve">2018-19 to 2020-21 (from </w:t>
      </w:r>
      <w:r w:rsidR="00B07BCC">
        <w:rPr>
          <w:rFonts w:ascii="Arial" w:eastAsia="Calibri" w:hAnsi="Arial" w:cs="Arial"/>
        </w:rPr>
        <w:t xml:space="preserve">$253,170 </w:t>
      </w:r>
      <w:r w:rsidR="00D33AF2">
        <w:rPr>
          <w:rFonts w:ascii="Arial" w:eastAsia="Calibri" w:hAnsi="Arial" w:cs="Arial"/>
        </w:rPr>
        <w:t xml:space="preserve">to </w:t>
      </w:r>
      <w:r w:rsidR="009F258C">
        <w:rPr>
          <w:rFonts w:ascii="Arial" w:eastAsia="Calibri" w:hAnsi="Arial" w:cs="Arial"/>
        </w:rPr>
        <w:t>$</w:t>
      </w:r>
      <w:r w:rsidR="00497E93">
        <w:rPr>
          <w:rFonts w:ascii="Arial" w:eastAsia="Calibri" w:hAnsi="Arial" w:cs="Arial"/>
        </w:rPr>
        <w:t>263</w:t>
      </w:r>
      <w:r w:rsidR="009F258C">
        <w:rPr>
          <w:rFonts w:ascii="Arial" w:eastAsia="Calibri" w:hAnsi="Arial" w:cs="Arial"/>
        </w:rPr>
        <w:t>,349</w:t>
      </w:r>
      <w:r>
        <w:rPr>
          <w:rFonts w:ascii="Arial" w:eastAsia="Calibri" w:hAnsi="Arial" w:cs="Arial"/>
        </w:rPr>
        <w:t>)</w:t>
      </w:r>
      <w:r w:rsidR="006B095F">
        <w:rPr>
          <w:rFonts w:ascii="Arial" w:eastAsia="Calibri" w:hAnsi="Arial" w:cs="Arial"/>
        </w:rPr>
        <w:t xml:space="preserve"> and the percentage of expenditure against the GTA has increased from </w:t>
      </w:r>
      <w:r w:rsidR="006B095F">
        <w:rPr>
          <w:rFonts w:ascii="Arial" w:eastAsia="Calibri" w:hAnsi="Arial" w:cs="Arial"/>
          <w:bCs/>
        </w:rPr>
        <w:t xml:space="preserve">29% in </w:t>
      </w:r>
      <w:r w:rsidR="006B095F">
        <w:rPr>
          <w:rFonts w:ascii="Arial" w:eastAsia="Calibri" w:hAnsi="Arial" w:cs="Arial"/>
        </w:rPr>
        <w:t xml:space="preserve">2018-19 to </w:t>
      </w:r>
      <w:r w:rsidR="006B095F">
        <w:rPr>
          <w:rFonts w:ascii="Arial" w:eastAsia="Calibri" w:hAnsi="Arial" w:cs="Arial"/>
          <w:bCs/>
        </w:rPr>
        <w:t xml:space="preserve">35% in </w:t>
      </w:r>
      <w:r w:rsidR="006B095F">
        <w:rPr>
          <w:rFonts w:ascii="Arial" w:eastAsia="Calibri" w:hAnsi="Arial" w:cs="Arial"/>
        </w:rPr>
        <w:t>2019-20 and</w:t>
      </w:r>
      <w:r w:rsidR="006B095F">
        <w:rPr>
          <w:rFonts w:ascii="Arial" w:eastAsia="Calibri" w:hAnsi="Arial" w:cs="Arial"/>
          <w:bCs/>
        </w:rPr>
        <w:t xml:space="preserve"> 38% 2020-21.</w:t>
      </w:r>
    </w:p>
    <w:p w14:paraId="428F7A70" w14:textId="72359A37" w:rsidR="00E86236" w:rsidRPr="00025E6C" w:rsidRDefault="005D18AC" w:rsidP="00FE399C">
      <w:pPr>
        <w:spacing w:before="200" w:after="200" w:line="276" w:lineRule="auto"/>
        <w:jc w:val="both"/>
        <w:rPr>
          <w:rFonts w:ascii="Arial" w:eastAsia="Calibri" w:hAnsi="Arial" w:cs="Arial"/>
          <w:bCs/>
        </w:rPr>
      </w:pPr>
      <w:r>
        <w:rPr>
          <w:rFonts w:ascii="Arial" w:eastAsia="Calibri" w:hAnsi="Arial" w:cs="Arial"/>
        </w:rPr>
        <w:t>The Tribunal n</w:t>
      </w:r>
      <w:r w:rsidR="00E86236">
        <w:rPr>
          <w:rFonts w:ascii="Arial" w:eastAsia="Calibri" w:hAnsi="Arial" w:cs="Arial"/>
        </w:rPr>
        <w:t>ot</w:t>
      </w:r>
      <w:r>
        <w:rPr>
          <w:rFonts w:ascii="Arial" w:eastAsia="Calibri" w:hAnsi="Arial" w:cs="Arial"/>
        </w:rPr>
        <w:t>ed</w:t>
      </w:r>
      <w:r w:rsidR="00E86236">
        <w:rPr>
          <w:rFonts w:ascii="Arial" w:eastAsia="Calibri" w:hAnsi="Arial" w:cs="Arial"/>
        </w:rPr>
        <w:t xml:space="preserve"> that the DTA </w:t>
      </w:r>
      <w:proofErr w:type="gramStart"/>
      <w:r w:rsidR="00E86236">
        <w:rPr>
          <w:rFonts w:ascii="Arial" w:eastAsia="Calibri" w:hAnsi="Arial" w:cs="Arial"/>
        </w:rPr>
        <w:t>was last increased</w:t>
      </w:r>
      <w:proofErr w:type="gramEnd"/>
      <w:r w:rsidR="00E86236">
        <w:rPr>
          <w:rFonts w:ascii="Arial" w:eastAsia="Calibri" w:hAnsi="Arial" w:cs="Arial"/>
        </w:rPr>
        <w:t xml:space="preserve"> </w:t>
      </w:r>
      <w:r w:rsidR="00E043E4">
        <w:rPr>
          <w:rFonts w:ascii="Arial" w:eastAsia="Calibri" w:hAnsi="Arial" w:cs="Arial"/>
        </w:rPr>
        <w:t>in Determination 21/2020</w:t>
      </w:r>
      <w:r w:rsidR="00E043E4" w:rsidRPr="001F273D">
        <w:rPr>
          <w:rFonts w:ascii="Arial" w:eastAsia="Calibri" w:hAnsi="Arial" w:cs="Arial"/>
        </w:rPr>
        <w:t xml:space="preserve"> </w:t>
      </w:r>
      <w:r w:rsidR="00E043E4">
        <w:rPr>
          <w:rFonts w:ascii="Arial" w:eastAsia="Calibri" w:hAnsi="Arial" w:cs="Arial"/>
        </w:rPr>
        <w:t xml:space="preserve">(August 2020), with the </w:t>
      </w:r>
      <w:r w:rsidR="00E043E4" w:rsidRPr="008125D1">
        <w:rPr>
          <w:rFonts w:ascii="Arial" w:eastAsia="Calibri" w:hAnsi="Arial" w:cs="Arial"/>
          <w:bCs/>
        </w:rPr>
        <w:t>increase coming into effect on 1 November 2020</w:t>
      </w:r>
      <w:r w:rsidR="00C85F10">
        <w:rPr>
          <w:rFonts w:ascii="Arial" w:eastAsia="Calibri" w:hAnsi="Arial" w:cs="Arial"/>
        </w:rPr>
        <w:t>.</w:t>
      </w:r>
      <w:r w:rsidR="00E86236">
        <w:rPr>
          <w:rFonts w:ascii="Arial" w:eastAsia="Calibri" w:hAnsi="Arial" w:cs="Arial"/>
        </w:rPr>
        <w:t xml:space="preserve"> </w:t>
      </w:r>
      <w:r w:rsidR="00D41382">
        <w:rPr>
          <w:rFonts w:ascii="Arial" w:eastAsia="Calibri" w:hAnsi="Arial" w:cs="Arial"/>
        </w:rPr>
        <w:t>T</w:t>
      </w:r>
      <w:r w:rsidR="00E86236">
        <w:rPr>
          <w:rFonts w:ascii="Arial" w:eastAsia="Calibri" w:hAnsi="Arial" w:cs="Arial"/>
        </w:rPr>
        <w:t xml:space="preserve">he Tribunal </w:t>
      </w:r>
      <w:r w:rsidR="001F5082">
        <w:rPr>
          <w:rFonts w:ascii="Arial" w:eastAsia="Calibri" w:hAnsi="Arial" w:cs="Arial"/>
        </w:rPr>
        <w:t xml:space="preserve">will continue </w:t>
      </w:r>
      <w:r w:rsidR="00E86236">
        <w:rPr>
          <w:rFonts w:ascii="Arial" w:eastAsia="Calibri" w:hAnsi="Arial" w:cs="Arial"/>
        </w:rPr>
        <w:t xml:space="preserve">to monitor DTA </w:t>
      </w:r>
      <w:r w:rsidR="00E86236" w:rsidRPr="00025E6C">
        <w:rPr>
          <w:rFonts w:ascii="Arial" w:eastAsia="Calibri" w:hAnsi="Arial" w:cs="Arial"/>
          <w:bCs/>
        </w:rPr>
        <w:t xml:space="preserve">expenditure from the GTA to ensure the quantum of the GTA remains sufficient to enable members to travel to conduct parliamentary business. </w:t>
      </w:r>
    </w:p>
    <w:p w14:paraId="36C43BD0" w14:textId="77777777" w:rsidR="00785321" w:rsidRPr="00946396" w:rsidRDefault="00785321" w:rsidP="005D663E">
      <w:pPr>
        <w:keepNext/>
        <w:keepLines/>
        <w:spacing w:before="200" w:after="200" w:line="256" w:lineRule="auto"/>
        <w:rPr>
          <w:rFonts w:ascii="Arial" w:hAnsi="Arial" w:cs="Arial"/>
          <w:i/>
          <w:iCs/>
          <w:color w:val="4F81BD"/>
          <w:spacing w:val="15"/>
        </w:rPr>
      </w:pPr>
      <w:bookmarkStart w:id="3" w:name="_Toc89443986"/>
      <w:r w:rsidRPr="00946396">
        <w:rPr>
          <w:rFonts w:ascii="Arial" w:hAnsi="Arial" w:cs="Arial"/>
          <w:i/>
          <w:iCs/>
          <w:color w:val="4F81BD"/>
          <w:spacing w:val="15"/>
        </w:rPr>
        <w:t>Cross Bench Members - Staff Travel</w:t>
      </w:r>
      <w:bookmarkEnd w:id="3"/>
    </w:p>
    <w:p w14:paraId="49AF208E" w14:textId="77777777" w:rsidR="00377064" w:rsidRPr="00025E6C" w:rsidRDefault="00377064" w:rsidP="005D663E">
      <w:pPr>
        <w:spacing w:before="200" w:after="200" w:line="276" w:lineRule="auto"/>
        <w:jc w:val="both"/>
        <w:rPr>
          <w:rFonts w:ascii="Arial" w:eastAsia="Calibri" w:hAnsi="Arial" w:cs="Arial"/>
          <w:bCs/>
        </w:rPr>
      </w:pPr>
      <w:r w:rsidRPr="00377064">
        <w:rPr>
          <w:rFonts w:ascii="Arial" w:eastAsia="Calibri" w:hAnsi="Arial" w:cs="Arial"/>
        </w:rPr>
        <w:t xml:space="preserve">On 23 </w:t>
      </w:r>
      <w:r w:rsidRPr="00025E6C">
        <w:rPr>
          <w:rFonts w:ascii="Arial" w:eastAsia="Calibri" w:hAnsi="Arial" w:cs="Arial"/>
          <w:bCs/>
        </w:rPr>
        <w:t xml:space="preserve">July 2020, the QIRT Act </w:t>
      </w:r>
      <w:proofErr w:type="gramStart"/>
      <w:r w:rsidRPr="00025E6C">
        <w:rPr>
          <w:rFonts w:ascii="Arial" w:eastAsia="Calibri" w:hAnsi="Arial" w:cs="Arial"/>
          <w:bCs/>
        </w:rPr>
        <w:t>was amended</w:t>
      </w:r>
      <w:proofErr w:type="gramEnd"/>
      <w:r w:rsidRPr="00025E6C">
        <w:rPr>
          <w:rFonts w:ascii="Arial" w:eastAsia="Calibri" w:hAnsi="Arial" w:cs="Arial"/>
          <w:bCs/>
        </w:rPr>
        <w:t xml:space="preserve"> to provide the Tribunal with the additional function of reviewing and determining the entitlements of cross bench members to additional staff members.</w:t>
      </w:r>
    </w:p>
    <w:p w14:paraId="7FD8807D" w14:textId="6C6FE9B9" w:rsidR="00377064" w:rsidRPr="00025E6C" w:rsidRDefault="00C44CC9" w:rsidP="005D663E">
      <w:pPr>
        <w:spacing w:before="200" w:after="200" w:line="276" w:lineRule="auto"/>
        <w:jc w:val="both"/>
        <w:rPr>
          <w:rFonts w:ascii="Arial" w:eastAsia="Calibri" w:hAnsi="Arial" w:cs="Arial"/>
          <w:bCs/>
        </w:rPr>
      </w:pPr>
      <w:r>
        <w:rPr>
          <w:rFonts w:ascii="Arial" w:eastAsia="Calibri" w:hAnsi="Arial" w:cs="Arial"/>
          <w:bCs/>
        </w:rPr>
        <w:t>In</w:t>
      </w:r>
      <w:r w:rsidR="00A665DE">
        <w:rPr>
          <w:rFonts w:ascii="Arial" w:eastAsia="Calibri" w:hAnsi="Arial" w:cs="Arial"/>
          <w:bCs/>
        </w:rPr>
        <w:t xml:space="preserve"> </w:t>
      </w:r>
      <w:r w:rsidR="00FF39D5">
        <w:rPr>
          <w:rFonts w:ascii="Arial" w:eastAsia="Calibri" w:hAnsi="Arial" w:cs="Arial"/>
          <w:bCs/>
        </w:rPr>
        <w:t>D</w:t>
      </w:r>
      <w:r w:rsidR="00785321" w:rsidRPr="00025E6C">
        <w:rPr>
          <w:rFonts w:ascii="Arial" w:eastAsia="Calibri" w:hAnsi="Arial" w:cs="Arial"/>
          <w:bCs/>
        </w:rPr>
        <w:t>etermination 23/2021 o</w:t>
      </w:r>
      <w:r w:rsidR="00377064" w:rsidRPr="00025E6C">
        <w:rPr>
          <w:rFonts w:ascii="Arial" w:eastAsia="Calibri" w:hAnsi="Arial" w:cs="Arial"/>
          <w:bCs/>
        </w:rPr>
        <w:t>f</w:t>
      </w:r>
      <w:r w:rsidR="00785321" w:rsidRPr="00025E6C">
        <w:rPr>
          <w:rFonts w:ascii="Arial" w:eastAsia="Calibri" w:hAnsi="Arial" w:cs="Arial"/>
          <w:bCs/>
        </w:rPr>
        <w:t xml:space="preserve"> 24 February 202</w:t>
      </w:r>
      <w:r w:rsidR="00E743BD">
        <w:rPr>
          <w:rFonts w:ascii="Arial" w:eastAsia="Calibri" w:hAnsi="Arial" w:cs="Arial"/>
          <w:bCs/>
        </w:rPr>
        <w:t>1</w:t>
      </w:r>
      <w:r w:rsidR="00785321" w:rsidRPr="00025E6C">
        <w:rPr>
          <w:rFonts w:ascii="Arial" w:eastAsia="Calibri" w:hAnsi="Arial" w:cs="Arial"/>
          <w:bCs/>
        </w:rPr>
        <w:t xml:space="preserve">, </w:t>
      </w:r>
      <w:r w:rsidR="00A665DE">
        <w:rPr>
          <w:rFonts w:ascii="Arial" w:eastAsia="Calibri" w:hAnsi="Arial" w:cs="Arial"/>
          <w:bCs/>
        </w:rPr>
        <w:t xml:space="preserve">The Tribunal resolved </w:t>
      </w:r>
      <w:r w:rsidR="00377064" w:rsidRPr="00025E6C">
        <w:rPr>
          <w:rFonts w:ascii="Arial" w:eastAsia="Calibri" w:hAnsi="Arial" w:cs="Arial"/>
          <w:bCs/>
        </w:rPr>
        <w:t xml:space="preserve">that </w:t>
      </w:r>
      <w:r w:rsidR="00140F69">
        <w:rPr>
          <w:rFonts w:ascii="Arial" w:eastAsia="Calibri" w:hAnsi="Arial" w:cs="Arial"/>
          <w:bCs/>
        </w:rPr>
        <w:t xml:space="preserve">a </w:t>
      </w:r>
      <w:r w:rsidR="00377064" w:rsidRPr="00025E6C">
        <w:rPr>
          <w:rFonts w:ascii="Arial" w:eastAsia="Calibri" w:hAnsi="Arial" w:cs="Arial"/>
          <w:bCs/>
        </w:rPr>
        <w:t xml:space="preserve">cross </w:t>
      </w:r>
      <w:r w:rsidR="00463DE2" w:rsidRPr="00025E6C">
        <w:rPr>
          <w:rFonts w:ascii="Arial" w:eastAsia="Calibri" w:hAnsi="Arial" w:cs="Arial"/>
          <w:bCs/>
        </w:rPr>
        <w:t xml:space="preserve">bench </w:t>
      </w:r>
      <w:r w:rsidR="000C5BDF" w:rsidRPr="005D663E">
        <w:rPr>
          <w:rFonts w:ascii="Arial" w:eastAsia="Calibri" w:hAnsi="Arial" w:cs="Arial"/>
          <w:bCs/>
        </w:rPr>
        <w:t>member’s additional staff member (Parliamentary Policy Officer) could travel with the cross bench member, and that the cost of the officer’s travel can be met from the cross bench member’s GTA, provided the member is conducting Parliamentary business related to specific categories.</w:t>
      </w:r>
      <w:r w:rsidR="00EC7056" w:rsidRPr="00961637">
        <w:rPr>
          <w:rFonts w:ascii="Arial" w:eastAsia="Calibri" w:hAnsi="Arial" w:cs="Arial"/>
          <w:bCs/>
          <w:vertAlign w:val="superscript"/>
        </w:rPr>
        <w:footnoteReference w:id="9"/>
      </w:r>
      <w:r w:rsidR="00785321" w:rsidRPr="00025E6C">
        <w:rPr>
          <w:rFonts w:ascii="Arial" w:eastAsia="Calibri" w:hAnsi="Arial" w:cs="Arial"/>
          <w:bCs/>
        </w:rPr>
        <w:t xml:space="preserve"> </w:t>
      </w:r>
      <w:r w:rsidR="00884C82" w:rsidRPr="00025E6C">
        <w:rPr>
          <w:rFonts w:ascii="Arial" w:eastAsia="Calibri" w:hAnsi="Arial" w:cs="Arial"/>
          <w:bCs/>
        </w:rPr>
        <w:t>The Tribunal committed to monitoring the claims of cross bench members for additional staff travel to ensure the quantum of the GTA remained sufficient for cross bench members.</w:t>
      </w:r>
    </w:p>
    <w:p w14:paraId="2137651E" w14:textId="67871A0F" w:rsidR="00785321" w:rsidRPr="00025E6C" w:rsidRDefault="00785321" w:rsidP="005D663E">
      <w:pPr>
        <w:spacing w:before="200" w:after="200" w:line="276" w:lineRule="auto"/>
        <w:jc w:val="both"/>
        <w:rPr>
          <w:rFonts w:ascii="Arial" w:eastAsia="Calibri" w:hAnsi="Arial" w:cs="Arial"/>
          <w:bCs/>
        </w:rPr>
      </w:pPr>
      <w:r w:rsidRPr="00025E6C">
        <w:rPr>
          <w:rFonts w:ascii="Arial" w:eastAsia="Calibri" w:hAnsi="Arial" w:cs="Arial"/>
          <w:bCs/>
        </w:rPr>
        <w:t xml:space="preserve">Three cross bench </w:t>
      </w:r>
      <w:r w:rsidR="00463DE2" w:rsidRPr="00025E6C">
        <w:rPr>
          <w:rFonts w:ascii="Arial" w:eastAsia="Calibri" w:hAnsi="Arial" w:cs="Arial"/>
          <w:bCs/>
        </w:rPr>
        <w:t>m</w:t>
      </w:r>
      <w:r w:rsidRPr="00025E6C">
        <w:rPr>
          <w:rFonts w:ascii="Arial" w:eastAsia="Calibri" w:hAnsi="Arial" w:cs="Arial"/>
          <w:bCs/>
        </w:rPr>
        <w:t xml:space="preserve">embers claimed travel for staff </w:t>
      </w:r>
      <w:r w:rsidR="009D446D" w:rsidRPr="00025E6C">
        <w:rPr>
          <w:rFonts w:ascii="Arial" w:eastAsia="Calibri" w:hAnsi="Arial" w:cs="Arial"/>
          <w:bCs/>
        </w:rPr>
        <w:t>from the</w:t>
      </w:r>
      <w:r w:rsidR="00884C82" w:rsidRPr="00025E6C">
        <w:rPr>
          <w:rFonts w:ascii="Arial" w:eastAsia="Calibri" w:hAnsi="Arial" w:cs="Arial"/>
          <w:bCs/>
        </w:rPr>
        <w:t>ir</w:t>
      </w:r>
      <w:r w:rsidR="009D446D" w:rsidRPr="00025E6C">
        <w:rPr>
          <w:rFonts w:ascii="Arial" w:eastAsia="Calibri" w:hAnsi="Arial" w:cs="Arial"/>
          <w:bCs/>
        </w:rPr>
        <w:t xml:space="preserve"> GTA and ECA </w:t>
      </w:r>
      <w:r w:rsidRPr="00025E6C">
        <w:rPr>
          <w:rFonts w:ascii="Arial" w:eastAsia="Calibri" w:hAnsi="Arial" w:cs="Arial"/>
          <w:bCs/>
        </w:rPr>
        <w:t xml:space="preserve">for the </w:t>
      </w:r>
      <w:r w:rsidR="00463DE2" w:rsidRPr="00025E6C">
        <w:rPr>
          <w:rFonts w:ascii="Arial" w:eastAsia="Calibri" w:hAnsi="Arial" w:cs="Arial"/>
          <w:bCs/>
        </w:rPr>
        <w:t>four-month</w:t>
      </w:r>
      <w:r w:rsidRPr="00025E6C">
        <w:rPr>
          <w:rFonts w:ascii="Arial" w:eastAsia="Calibri" w:hAnsi="Arial" w:cs="Arial"/>
          <w:bCs/>
        </w:rPr>
        <w:t xml:space="preserve"> period from 24 February </w:t>
      </w:r>
      <w:r w:rsidR="00884C82" w:rsidRPr="00025E6C">
        <w:rPr>
          <w:rFonts w:ascii="Arial" w:eastAsia="Calibri" w:hAnsi="Arial" w:cs="Arial"/>
          <w:bCs/>
        </w:rPr>
        <w:t xml:space="preserve">2021 </w:t>
      </w:r>
      <w:r w:rsidRPr="00025E6C">
        <w:rPr>
          <w:rFonts w:ascii="Arial" w:eastAsia="Calibri" w:hAnsi="Arial" w:cs="Arial"/>
          <w:bCs/>
        </w:rPr>
        <w:t>to 30 June 2021</w:t>
      </w:r>
      <w:r w:rsidR="00884C82" w:rsidRPr="00025E6C">
        <w:rPr>
          <w:rFonts w:ascii="Arial" w:eastAsia="Calibri" w:hAnsi="Arial" w:cs="Arial"/>
          <w:bCs/>
        </w:rPr>
        <w:t xml:space="preserve"> for a total of $3,388</w:t>
      </w:r>
      <w:r w:rsidR="00463DE2" w:rsidRPr="00025E6C">
        <w:rPr>
          <w:rFonts w:ascii="Arial" w:eastAsia="Calibri" w:hAnsi="Arial" w:cs="Arial"/>
          <w:bCs/>
        </w:rPr>
        <w:t>.</w:t>
      </w:r>
      <w:r w:rsidRPr="00025E6C">
        <w:rPr>
          <w:rFonts w:ascii="Arial" w:eastAsia="Calibri" w:hAnsi="Arial" w:cs="Arial"/>
          <w:bCs/>
        </w:rPr>
        <w:t xml:space="preserve"> </w:t>
      </w:r>
    </w:p>
    <w:p w14:paraId="778A34C0" w14:textId="00E66BF9" w:rsidR="00884C82" w:rsidRPr="00825AFA" w:rsidRDefault="00CF2886" w:rsidP="00025E6C">
      <w:pPr>
        <w:spacing w:before="200" w:after="200" w:line="276" w:lineRule="auto"/>
        <w:jc w:val="both"/>
        <w:rPr>
          <w:rFonts w:ascii="Arial" w:eastAsia="Calibri" w:hAnsi="Arial" w:cs="Arial"/>
        </w:rPr>
      </w:pPr>
      <w:r w:rsidRPr="00025E6C">
        <w:rPr>
          <w:rFonts w:ascii="Arial" w:eastAsia="Calibri" w:hAnsi="Arial" w:cs="Arial"/>
          <w:bCs/>
        </w:rPr>
        <w:t>As the entitlement has been in effect for a limited time, the</w:t>
      </w:r>
      <w:r w:rsidR="00884C82" w:rsidRPr="00025E6C">
        <w:rPr>
          <w:rFonts w:ascii="Arial" w:eastAsia="Calibri" w:hAnsi="Arial" w:cs="Arial"/>
          <w:bCs/>
        </w:rPr>
        <w:t xml:space="preserve"> Tribunal will continue to monitor expenditure by cross bench members on</w:t>
      </w:r>
      <w:r w:rsidR="00884C82" w:rsidRPr="00825AFA">
        <w:rPr>
          <w:rFonts w:ascii="Arial" w:eastAsia="Calibri" w:hAnsi="Arial" w:cs="Arial"/>
        </w:rPr>
        <w:t xml:space="preserve"> additional staff travel</w:t>
      </w:r>
      <w:r w:rsidRPr="00825AFA">
        <w:rPr>
          <w:rFonts w:ascii="Arial" w:eastAsia="Calibri" w:hAnsi="Arial" w:cs="Arial"/>
        </w:rPr>
        <w:t>.</w:t>
      </w:r>
    </w:p>
    <w:p w14:paraId="0DDF31FC" w14:textId="2E32FFFB" w:rsidR="00785321" w:rsidRPr="00796D6E" w:rsidRDefault="00785321" w:rsidP="009D446D">
      <w:pPr>
        <w:keepNext/>
        <w:keepLines/>
        <w:spacing w:after="160" w:line="256" w:lineRule="auto"/>
        <w:rPr>
          <w:rFonts w:ascii="Arial" w:hAnsi="Arial" w:cs="Arial"/>
          <w:i/>
          <w:iCs/>
          <w:color w:val="4F81BD"/>
          <w:spacing w:val="15"/>
        </w:rPr>
      </w:pPr>
      <w:bookmarkStart w:id="4" w:name="_Toc89356653"/>
      <w:bookmarkStart w:id="5" w:name="_Toc89443987"/>
      <w:bookmarkEnd w:id="4"/>
      <w:r w:rsidRPr="00796D6E">
        <w:rPr>
          <w:rFonts w:ascii="Arial" w:hAnsi="Arial" w:cs="Arial"/>
          <w:i/>
          <w:iCs/>
          <w:color w:val="4F81BD"/>
          <w:spacing w:val="15"/>
        </w:rPr>
        <w:lastRenderedPageBreak/>
        <w:t>Parliamentary Business Overnight Rate</w:t>
      </w:r>
      <w:bookmarkEnd w:id="5"/>
      <w:r w:rsidR="009D446D">
        <w:rPr>
          <w:rFonts w:ascii="Arial" w:hAnsi="Arial" w:cs="Arial"/>
          <w:i/>
          <w:iCs/>
          <w:color w:val="4F81BD"/>
          <w:spacing w:val="15"/>
        </w:rPr>
        <w:t xml:space="preserve"> (PBOR)</w:t>
      </w:r>
    </w:p>
    <w:p w14:paraId="468D484B" w14:textId="1FF2EE67" w:rsidR="00785321" w:rsidRDefault="00785321" w:rsidP="00FE399C">
      <w:pPr>
        <w:spacing w:before="200" w:after="200" w:line="276" w:lineRule="auto"/>
        <w:jc w:val="both"/>
        <w:rPr>
          <w:rFonts w:ascii="Arial" w:eastAsia="Calibri" w:hAnsi="Arial" w:cs="Arial"/>
          <w:bCs/>
        </w:rPr>
      </w:pPr>
      <w:r>
        <w:rPr>
          <w:rFonts w:ascii="Arial" w:eastAsia="Calibri" w:hAnsi="Arial" w:cs="Arial"/>
          <w:bCs/>
        </w:rPr>
        <w:t xml:space="preserve">The PBOR is claimable for overnight stays in Brisbane. The PBOR </w:t>
      </w:r>
      <w:proofErr w:type="gramStart"/>
      <w:r>
        <w:rPr>
          <w:rFonts w:ascii="Arial" w:eastAsia="Calibri" w:hAnsi="Arial" w:cs="Arial"/>
          <w:bCs/>
        </w:rPr>
        <w:t>is not charged</w:t>
      </w:r>
      <w:proofErr w:type="gramEnd"/>
      <w:r>
        <w:rPr>
          <w:rFonts w:ascii="Arial" w:eastAsia="Calibri" w:hAnsi="Arial" w:cs="Arial"/>
          <w:bCs/>
        </w:rPr>
        <w:t xml:space="preserve"> against the member’s GTA</w:t>
      </w:r>
      <w:r w:rsidR="009D446D">
        <w:rPr>
          <w:rFonts w:ascii="Arial" w:eastAsia="Calibri" w:hAnsi="Arial" w:cs="Arial"/>
          <w:bCs/>
        </w:rPr>
        <w:t>,</w:t>
      </w:r>
      <w:r>
        <w:rPr>
          <w:rFonts w:ascii="Arial" w:eastAsia="Calibri" w:hAnsi="Arial" w:cs="Arial"/>
          <w:bCs/>
        </w:rPr>
        <w:t xml:space="preserve"> but the total sum of claims is reported as a note to the Annual GTA Report tabled in the Parliament. </w:t>
      </w:r>
    </w:p>
    <w:p w14:paraId="02B78065" w14:textId="1AB17CF7" w:rsidR="001B2EA7" w:rsidRDefault="001B2EA7" w:rsidP="00FE399C">
      <w:pPr>
        <w:spacing w:before="200" w:after="200" w:line="276" w:lineRule="auto"/>
        <w:jc w:val="both"/>
        <w:rPr>
          <w:rFonts w:ascii="Arial" w:hAnsi="Arial" w:cs="Arial"/>
        </w:rPr>
      </w:pPr>
      <w:r w:rsidRPr="00025E6C">
        <w:rPr>
          <w:rFonts w:ascii="Arial" w:eastAsia="Calibri" w:hAnsi="Arial" w:cs="Arial"/>
          <w:bCs/>
        </w:rPr>
        <w:t>In Determination 21/2020 the Tribunal increased the rate of the Parliamentary Business Overnight Rate</w:t>
      </w:r>
      <w:r>
        <w:rPr>
          <w:rFonts w:ascii="Arial" w:hAnsi="Arial" w:cs="Arial"/>
        </w:rPr>
        <w:t xml:space="preserve">. The current PBOR </w:t>
      </w:r>
      <w:proofErr w:type="gramStart"/>
      <w:r>
        <w:rPr>
          <w:rFonts w:ascii="Arial" w:hAnsi="Arial" w:cs="Arial"/>
        </w:rPr>
        <w:t xml:space="preserve">is </w:t>
      </w:r>
      <w:r w:rsidR="005D663E">
        <w:rPr>
          <w:rFonts w:ascii="Arial" w:hAnsi="Arial" w:cs="Arial"/>
        </w:rPr>
        <w:t>shown</w:t>
      </w:r>
      <w:proofErr w:type="gramEnd"/>
      <w:r w:rsidR="005D663E">
        <w:rPr>
          <w:rFonts w:ascii="Arial" w:hAnsi="Arial" w:cs="Arial"/>
        </w:rPr>
        <w:t xml:space="preserve"> in Table 6.</w:t>
      </w:r>
      <w:r>
        <w:rPr>
          <w:rFonts w:ascii="Arial" w:hAnsi="Arial" w:cs="Arial"/>
        </w:rPr>
        <w:t xml:space="preserve"> </w:t>
      </w:r>
    </w:p>
    <w:p w14:paraId="54C542AF" w14:textId="252D8ED1" w:rsidR="001B2EA7" w:rsidRPr="00605CB3" w:rsidRDefault="001B2EA7" w:rsidP="001B2EA7">
      <w:pPr>
        <w:spacing w:before="200" w:after="200" w:line="276" w:lineRule="auto"/>
        <w:jc w:val="both"/>
        <w:rPr>
          <w:rFonts w:ascii="Arial" w:eastAsia="Calibri" w:hAnsi="Arial" w:cs="Arial"/>
          <w:u w:val="single"/>
        </w:rPr>
      </w:pPr>
      <w:r w:rsidRPr="00605CB3">
        <w:rPr>
          <w:rFonts w:ascii="Arial" w:eastAsia="Calibri" w:hAnsi="Arial" w:cs="Arial"/>
          <w:u w:val="single"/>
        </w:rPr>
        <w:t xml:space="preserve">Table </w:t>
      </w:r>
      <w:r w:rsidR="008D3476">
        <w:rPr>
          <w:rFonts w:ascii="Arial" w:eastAsia="Calibri" w:hAnsi="Arial" w:cs="Arial"/>
          <w:u w:val="single"/>
        </w:rPr>
        <w:t>6</w:t>
      </w:r>
      <w:r w:rsidRPr="00605CB3">
        <w:rPr>
          <w:rFonts w:ascii="Arial" w:eastAsia="Calibri" w:hAnsi="Arial" w:cs="Arial"/>
          <w:u w:val="single"/>
        </w:rPr>
        <w:t>: Parliamentary Business Overnight Rate</w:t>
      </w:r>
    </w:p>
    <w:tbl>
      <w:tblPr>
        <w:tblStyle w:val="TableGrid"/>
        <w:tblW w:w="9776" w:type="dxa"/>
        <w:tblInd w:w="0" w:type="dxa"/>
        <w:tblLook w:val="04A0" w:firstRow="1" w:lastRow="0" w:firstColumn="1" w:lastColumn="0" w:noHBand="0" w:noVBand="1"/>
      </w:tblPr>
      <w:tblGrid>
        <w:gridCol w:w="5949"/>
        <w:gridCol w:w="3827"/>
      </w:tblGrid>
      <w:tr w:rsidR="001B2EA7" w:rsidRPr="0063783D" w14:paraId="5CBB8604" w14:textId="77777777" w:rsidTr="00FE399C">
        <w:tc>
          <w:tcPr>
            <w:tcW w:w="5949" w:type="dxa"/>
            <w:shd w:val="clear" w:color="auto" w:fill="8EAADB" w:themeFill="accent1" w:themeFillTint="99"/>
          </w:tcPr>
          <w:p w14:paraId="2E9C22EC" w14:textId="77777777" w:rsidR="001B2EA7" w:rsidRPr="0063783D" w:rsidRDefault="001B2EA7" w:rsidP="00C965DA">
            <w:pPr>
              <w:keepNext/>
              <w:spacing w:line="276" w:lineRule="auto"/>
              <w:rPr>
                <w:rFonts w:ascii="Arial" w:eastAsia="Calibri" w:hAnsi="Arial" w:cs="Arial"/>
                <w:b/>
                <w:bCs/>
              </w:rPr>
            </w:pPr>
            <w:r w:rsidRPr="0063783D">
              <w:rPr>
                <w:rFonts w:ascii="Arial" w:eastAsia="Calibri" w:hAnsi="Arial" w:cs="Arial"/>
                <w:b/>
                <w:bCs/>
              </w:rPr>
              <w:t>Circumstance</w:t>
            </w:r>
          </w:p>
        </w:tc>
        <w:tc>
          <w:tcPr>
            <w:tcW w:w="3827" w:type="dxa"/>
            <w:shd w:val="clear" w:color="auto" w:fill="8EAADB" w:themeFill="accent1" w:themeFillTint="99"/>
          </w:tcPr>
          <w:p w14:paraId="36F47F11" w14:textId="77777777" w:rsidR="001B2EA7" w:rsidRPr="0063783D" w:rsidRDefault="001B2EA7" w:rsidP="00C965DA">
            <w:pPr>
              <w:keepNext/>
              <w:spacing w:line="276" w:lineRule="auto"/>
              <w:rPr>
                <w:rFonts w:ascii="Arial" w:eastAsia="Calibri" w:hAnsi="Arial" w:cs="Arial"/>
                <w:b/>
                <w:bCs/>
              </w:rPr>
            </w:pPr>
            <w:r>
              <w:rPr>
                <w:rFonts w:ascii="Arial" w:eastAsia="Calibri" w:hAnsi="Arial" w:cs="Arial"/>
                <w:b/>
                <w:bCs/>
              </w:rPr>
              <w:t>Amount</w:t>
            </w:r>
          </w:p>
        </w:tc>
      </w:tr>
      <w:tr w:rsidR="001B2EA7" w:rsidRPr="0063783D" w14:paraId="42EE2034" w14:textId="77777777" w:rsidTr="00FE399C">
        <w:tc>
          <w:tcPr>
            <w:tcW w:w="5949" w:type="dxa"/>
          </w:tcPr>
          <w:p w14:paraId="2111354D" w14:textId="77777777" w:rsidR="001B2EA7" w:rsidRPr="0063783D" w:rsidRDefault="001B2EA7" w:rsidP="00C965DA">
            <w:pPr>
              <w:spacing w:line="276" w:lineRule="auto"/>
              <w:rPr>
                <w:rFonts w:ascii="Arial" w:eastAsia="Calibri" w:hAnsi="Arial" w:cs="Arial"/>
              </w:rPr>
            </w:pPr>
            <w:r w:rsidRPr="0063783D">
              <w:rPr>
                <w:rFonts w:ascii="Arial" w:eastAsia="Calibri" w:hAnsi="Arial" w:cs="Arial"/>
              </w:rPr>
              <w:t>Members provided with overnight accommodation in the Parliamentary Annexe</w:t>
            </w:r>
          </w:p>
        </w:tc>
        <w:tc>
          <w:tcPr>
            <w:tcW w:w="3827" w:type="dxa"/>
          </w:tcPr>
          <w:p w14:paraId="2C368964" w14:textId="77777777" w:rsidR="001B2EA7" w:rsidRDefault="001B2EA7" w:rsidP="00C965DA">
            <w:pPr>
              <w:spacing w:line="276" w:lineRule="auto"/>
              <w:rPr>
                <w:rFonts w:ascii="Arial" w:eastAsia="Calibri" w:hAnsi="Arial" w:cs="Arial"/>
              </w:rPr>
            </w:pPr>
            <w:r w:rsidRPr="0063783D">
              <w:rPr>
                <w:rFonts w:ascii="Arial" w:eastAsia="Calibri" w:hAnsi="Arial" w:cs="Arial"/>
              </w:rPr>
              <w:t xml:space="preserve">$133.00 per day </w:t>
            </w:r>
          </w:p>
          <w:p w14:paraId="43418091" w14:textId="77777777" w:rsidR="001B2EA7" w:rsidRPr="0063783D" w:rsidRDefault="001B2EA7" w:rsidP="00C965DA">
            <w:pPr>
              <w:spacing w:line="276" w:lineRule="auto"/>
              <w:rPr>
                <w:rFonts w:ascii="Arial" w:eastAsia="Calibri" w:hAnsi="Arial" w:cs="Arial"/>
              </w:rPr>
            </w:pPr>
            <w:r w:rsidRPr="0063783D">
              <w:rPr>
                <w:rFonts w:ascii="Arial" w:eastAsia="Calibri" w:hAnsi="Arial" w:cs="Arial"/>
              </w:rPr>
              <w:t>(1/3</w:t>
            </w:r>
            <w:r w:rsidRPr="0063783D">
              <w:rPr>
                <w:rFonts w:ascii="Arial" w:eastAsia="Calibri" w:hAnsi="Arial" w:cs="Arial"/>
                <w:vertAlign w:val="superscript"/>
              </w:rPr>
              <w:t>rd</w:t>
            </w:r>
            <w:r w:rsidRPr="0063783D">
              <w:rPr>
                <w:rFonts w:ascii="Arial" w:eastAsia="Calibri" w:hAnsi="Arial" w:cs="Arial"/>
              </w:rPr>
              <w:t xml:space="preserve"> of the current DTA capital city rate)</w:t>
            </w:r>
          </w:p>
        </w:tc>
      </w:tr>
      <w:tr w:rsidR="001B2EA7" w:rsidRPr="0063783D" w14:paraId="4B776807" w14:textId="77777777" w:rsidTr="00FE399C">
        <w:tc>
          <w:tcPr>
            <w:tcW w:w="5949" w:type="dxa"/>
          </w:tcPr>
          <w:p w14:paraId="44564973" w14:textId="77777777" w:rsidR="001B2EA7" w:rsidRPr="0063783D" w:rsidRDefault="001B2EA7" w:rsidP="00C965DA">
            <w:pPr>
              <w:spacing w:line="276" w:lineRule="auto"/>
              <w:rPr>
                <w:rFonts w:ascii="Arial" w:eastAsia="Calibri" w:hAnsi="Arial" w:cs="Arial"/>
              </w:rPr>
            </w:pPr>
            <w:r w:rsidRPr="0063783D">
              <w:rPr>
                <w:rFonts w:ascii="Arial" w:eastAsia="Calibri" w:hAnsi="Arial" w:cs="Arial"/>
              </w:rPr>
              <w:t>Members representing Brisbane based electorates not provided with overnight accommodation in the Parliamentary Annexe who stay in commercial accommodation facilities for an overnight stay (e.g. hotel)</w:t>
            </w:r>
          </w:p>
        </w:tc>
        <w:tc>
          <w:tcPr>
            <w:tcW w:w="3827" w:type="dxa"/>
          </w:tcPr>
          <w:p w14:paraId="3D4CA375" w14:textId="77777777" w:rsidR="001B2EA7" w:rsidRDefault="001B2EA7" w:rsidP="00C965DA">
            <w:pPr>
              <w:spacing w:line="276" w:lineRule="auto"/>
              <w:rPr>
                <w:rFonts w:ascii="Arial" w:eastAsia="Calibri" w:hAnsi="Arial" w:cs="Arial"/>
              </w:rPr>
            </w:pPr>
            <w:r w:rsidRPr="0063783D">
              <w:rPr>
                <w:rFonts w:ascii="Arial" w:eastAsia="Calibri" w:hAnsi="Arial" w:cs="Arial"/>
              </w:rPr>
              <w:t xml:space="preserve">$133.00 per day </w:t>
            </w:r>
          </w:p>
          <w:p w14:paraId="4027A1CF" w14:textId="77777777" w:rsidR="001B2EA7" w:rsidRPr="0063783D" w:rsidRDefault="001B2EA7" w:rsidP="00C965DA">
            <w:pPr>
              <w:spacing w:line="276" w:lineRule="auto"/>
              <w:rPr>
                <w:rFonts w:ascii="Arial" w:eastAsia="Calibri" w:hAnsi="Arial" w:cs="Arial"/>
              </w:rPr>
            </w:pPr>
            <w:r w:rsidRPr="0063783D">
              <w:rPr>
                <w:rFonts w:ascii="Arial" w:eastAsia="Calibri" w:hAnsi="Arial" w:cs="Arial"/>
              </w:rPr>
              <w:t>(1/3</w:t>
            </w:r>
            <w:r w:rsidRPr="0063783D">
              <w:rPr>
                <w:rFonts w:ascii="Arial" w:eastAsia="Calibri" w:hAnsi="Arial" w:cs="Arial"/>
                <w:vertAlign w:val="superscript"/>
              </w:rPr>
              <w:t>rd</w:t>
            </w:r>
            <w:r w:rsidRPr="0063783D">
              <w:rPr>
                <w:rFonts w:ascii="Arial" w:eastAsia="Calibri" w:hAnsi="Arial" w:cs="Arial"/>
              </w:rPr>
              <w:t xml:space="preserve"> of the current DTA capital city rate)</w:t>
            </w:r>
          </w:p>
        </w:tc>
      </w:tr>
      <w:tr w:rsidR="001B2EA7" w:rsidRPr="0063783D" w14:paraId="5D9513E6" w14:textId="77777777" w:rsidTr="00FE399C">
        <w:tc>
          <w:tcPr>
            <w:tcW w:w="5949" w:type="dxa"/>
          </w:tcPr>
          <w:p w14:paraId="3EDEA89D" w14:textId="77777777" w:rsidR="001B2EA7" w:rsidRPr="0063783D" w:rsidRDefault="001B2EA7" w:rsidP="00C965DA">
            <w:pPr>
              <w:spacing w:line="276" w:lineRule="auto"/>
              <w:rPr>
                <w:rFonts w:ascii="Arial" w:eastAsia="Calibri" w:hAnsi="Arial" w:cs="Arial"/>
              </w:rPr>
            </w:pPr>
            <w:r w:rsidRPr="0063783D">
              <w:rPr>
                <w:rFonts w:ascii="Arial" w:eastAsia="Calibri" w:hAnsi="Arial" w:cs="Arial"/>
              </w:rPr>
              <w:t>Other members not provided with overnight accommodation in the Parliamentary Annexe who stay in commercial accommodation facilities for an overnight stay (e.g. hotel)</w:t>
            </w:r>
          </w:p>
        </w:tc>
        <w:tc>
          <w:tcPr>
            <w:tcW w:w="3827" w:type="dxa"/>
          </w:tcPr>
          <w:p w14:paraId="7EF7613A" w14:textId="77777777" w:rsidR="001B2EA7" w:rsidRDefault="001B2EA7" w:rsidP="00C965DA">
            <w:pPr>
              <w:spacing w:line="276" w:lineRule="auto"/>
              <w:rPr>
                <w:rFonts w:ascii="Arial" w:eastAsia="Calibri" w:hAnsi="Arial" w:cs="Arial"/>
              </w:rPr>
            </w:pPr>
            <w:r w:rsidRPr="0063783D">
              <w:rPr>
                <w:rFonts w:ascii="Arial" w:eastAsia="Calibri" w:hAnsi="Arial" w:cs="Arial"/>
              </w:rPr>
              <w:t xml:space="preserve">$399.00 per day </w:t>
            </w:r>
          </w:p>
          <w:p w14:paraId="7359F83C" w14:textId="77777777" w:rsidR="001B2EA7" w:rsidRPr="0063783D" w:rsidRDefault="001B2EA7" w:rsidP="00C965DA">
            <w:pPr>
              <w:spacing w:line="276" w:lineRule="auto"/>
              <w:rPr>
                <w:rFonts w:ascii="Arial" w:eastAsia="Calibri" w:hAnsi="Arial" w:cs="Arial"/>
              </w:rPr>
            </w:pPr>
            <w:r w:rsidRPr="0063783D">
              <w:rPr>
                <w:rFonts w:ascii="Arial" w:eastAsia="Calibri" w:hAnsi="Arial" w:cs="Arial"/>
              </w:rPr>
              <w:t>(DTA rate)</w:t>
            </w:r>
          </w:p>
        </w:tc>
      </w:tr>
    </w:tbl>
    <w:p w14:paraId="7431E1E2" w14:textId="2E2175B1" w:rsidR="007078EC" w:rsidRPr="00B728B4" w:rsidRDefault="007078EC" w:rsidP="00716B00">
      <w:pPr>
        <w:spacing w:before="200" w:after="200" w:line="276" w:lineRule="auto"/>
        <w:jc w:val="both"/>
        <w:rPr>
          <w:rFonts w:ascii="Arial" w:eastAsia="Calibri" w:hAnsi="Arial" w:cs="Arial"/>
          <w:bCs/>
        </w:rPr>
      </w:pPr>
      <w:r w:rsidRPr="00B728B4">
        <w:rPr>
          <w:rFonts w:ascii="Arial" w:eastAsia="Calibri" w:hAnsi="Arial" w:cs="Arial"/>
          <w:bCs/>
        </w:rPr>
        <w:t xml:space="preserve">The following table compares PBOR claims </w:t>
      </w:r>
      <w:r w:rsidR="005D663E" w:rsidRPr="00B728B4">
        <w:rPr>
          <w:rFonts w:ascii="Arial" w:eastAsia="Calibri" w:hAnsi="Arial" w:cs="Arial"/>
          <w:bCs/>
        </w:rPr>
        <w:t>over a three-year period f</w:t>
      </w:r>
      <w:r w:rsidRPr="00B728B4">
        <w:rPr>
          <w:rFonts w:ascii="Arial" w:eastAsia="Calibri" w:hAnsi="Arial" w:cs="Arial"/>
          <w:bCs/>
        </w:rPr>
        <w:t>r</w:t>
      </w:r>
      <w:r w:rsidR="005D663E" w:rsidRPr="00B728B4">
        <w:rPr>
          <w:rFonts w:ascii="Arial" w:eastAsia="Calibri" w:hAnsi="Arial" w:cs="Arial"/>
          <w:bCs/>
        </w:rPr>
        <w:t>om</w:t>
      </w:r>
      <w:r w:rsidRPr="00B728B4">
        <w:rPr>
          <w:rFonts w:ascii="Arial" w:eastAsia="Calibri" w:hAnsi="Arial" w:cs="Arial"/>
          <w:bCs/>
        </w:rPr>
        <w:t xml:space="preserve"> 201</w:t>
      </w:r>
      <w:r w:rsidR="005D663E" w:rsidRPr="00B728B4">
        <w:rPr>
          <w:rFonts w:ascii="Arial" w:eastAsia="Calibri" w:hAnsi="Arial" w:cs="Arial"/>
          <w:bCs/>
        </w:rPr>
        <w:t xml:space="preserve">8 to </w:t>
      </w:r>
      <w:r w:rsidRPr="00B728B4">
        <w:rPr>
          <w:rFonts w:ascii="Arial" w:eastAsia="Calibri" w:hAnsi="Arial" w:cs="Arial"/>
          <w:bCs/>
        </w:rPr>
        <w:t>202</w:t>
      </w:r>
      <w:r w:rsidR="005D663E" w:rsidRPr="00B728B4">
        <w:rPr>
          <w:rFonts w:ascii="Arial" w:eastAsia="Calibri" w:hAnsi="Arial" w:cs="Arial"/>
          <w:bCs/>
        </w:rPr>
        <w:t>1</w:t>
      </w:r>
      <w:r w:rsidRPr="00B728B4">
        <w:rPr>
          <w:rFonts w:ascii="Arial" w:eastAsia="Calibri" w:hAnsi="Arial" w:cs="Arial"/>
          <w:bCs/>
        </w:rPr>
        <w:t xml:space="preserve">. </w:t>
      </w:r>
    </w:p>
    <w:p w14:paraId="5A94B977" w14:textId="0A1D176A" w:rsidR="00716B00" w:rsidRPr="009025F0" w:rsidRDefault="00716B00" w:rsidP="00391869">
      <w:pPr>
        <w:spacing w:before="200" w:after="200" w:line="276" w:lineRule="auto"/>
        <w:jc w:val="both"/>
        <w:rPr>
          <w:rFonts w:ascii="Arial" w:eastAsia="Calibri" w:hAnsi="Arial" w:cs="Arial"/>
          <w:bCs/>
          <w:u w:val="single"/>
        </w:rPr>
      </w:pPr>
      <w:r w:rsidRPr="009025F0">
        <w:rPr>
          <w:rFonts w:ascii="Arial" w:eastAsia="Calibri" w:hAnsi="Arial" w:cs="Arial"/>
          <w:u w:val="single"/>
        </w:rPr>
        <w:t xml:space="preserve">Table </w:t>
      </w:r>
      <w:r w:rsidR="008D3476">
        <w:rPr>
          <w:rFonts w:ascii="Arial" w:eastAsia="Calibri" w:hAnsi="Arial" w:cs="Arial"/>
          <w:u w:val="single"/>
        </w:rPr>
        <w:t>7</w:t>
      </w:r>
      <w:r w:rsidRPr="009025F0">
        <w:rPr>
          <w:rFonts w:ascii="Arial" w:eastAsia="Calibri" w:hAnsi="Arial" w:cs="Arial"/>
          <w:u w:val="single"/>
        </w:rPr>
        <w:t xml:space="preserve">: </w:t>
      </w:r>
      <w:r w:rsidR="005D663E">
        <w:rPr>
          <w:rFonts w:ascii="Arial" w:eastAsia="Calibri" w:hAnsi="Arial" w:cs="Arial"/>
          <w:u w:val="single"/>
        </w:rPr>
        <w:t>PBOR</w:t>
      </w:r>
      <w:r w:rsidRPr="009025F0">
        <w:rPr>
          <w:rFonts w:ascii="Arial" w:eastAsia="Calibri" w:hAnsi="Arial" w:cs="Arial"/>
          <w:u w:val="single"/>
        </w:rPr>
        <w:t xml:space="preserve"> Claims</w:t>
      </w:r>
    </w:p>
    <w:tbl>
      <w:tblPr>
        <w:tblStyle w:val="TableGrid"/>
        <w:tblW w:w="9776" w:type="dxa"/>
        <w:tblInd w:w="0" w:type="dxa"/>
        <w:tblLook w:val="04A0" w:firstRow="1" w:lastRow="0" w:firstColumn="1" w:lastColumn="0" w:noHBand="0" w:noVBand="1"/>
      </w:tblPr>
      <w:tblGrid>
        <w:gridCol w:w="4815"/>
        <w:gridCol w:w="1653"/>
        <w:gridCol w:w="1654"/>
        <w:gridCol w:w="1654"/>
      </w:tblGrid>
      <w:tr w:rsidR="00716B00" w:rsidRPr="009025F0" w14:paraId="427C6BAF" w14:textId="77777777" w:rsidTr="00FE399C">
        <w:tc>
          <w:tcPr>
            <w:tcW w:w="4815" w:type="dxa"/>
            <w:shd w:val="clear" w:color="auto" w:fill="8EAADB" w:themeFill="accent1" w:themeFillTint="99"/>
          </w:tcPr>
          <w:p w14:paraId="169BF4A2" w14:textId="77777777" w:rsidR="00716B00" w:rsidRPr="009025F0" w:rsidRDefault="00716B00" w:rsidP="0048734D">
            <w:pPr>
              <w:spacing w:line="276" w:lineRule="auto"/>
              <w:jc w:val="both"/>
              <w:rPr>
                <w:rFonts w:ascii="Arial" w:eastAsia="Calibri" w:hAnsi="Arial" w:cs="Arial"/>
                <w:bCs/>
              </w:rPr>
            </w:pPr>
          </w:p>
        </w:tc>
        <w:tc>
          <w:tcPr>
            <w:tcW w:w="1653" w:type="dxa"/>
            <w:shd w:val="clear" w:color="auto" w:fill="8EAADB" w:themeFill="accent1" w:themeFillTint="99"/>
          </w:tcPr>
          <w:p w14:paraId="78049BA0" w14:textId="77777777" w:rsidR="00716B00" w:rsidRPr="009025F0" w:rsidRDefault="00716B00" w:rsidP="0048734D">
            <w:pPr>
              <w:spacing w:line="276" w:lineRule="auto"/>
              <w:jc w:val="right"/>
              <w:rPr>
                <w:rFonts w:ascii="Arial" w:eastAsia="Calibri" w:hAnsi="Arial" w:cs="Arial"/>
                <w:b/>
              </w:rPr>
            </w:pPr>
            <w:r>
              <w:rPr>
                <w:rFonts w:ascii="Arial" w:eastAsia="Calibri" w:hAnsi="Arial" w:cs="Arial"/>
                <w:b/>
              </w:rPr>
              <w:t>2018-19</w:t>
            </w:r>
          </w:p>
        </w:tc>
        <w:tc>
          <w:tcPr>
            <w:tcW w:w="1654" w:type="dxa"/>
            <w:shd w:val="clear" w:color="auto" w:fill="8EAADB" w:themeFill="accent1" w:themeFillTint="99"/>
            <w:vAlign w:val="center"/>
          </w:tcPr>
          <w:p w14:paraId="63D352D7" w14:textId="77777777" w:rsidR="00716B00" w:rsidRPr="009025F0" w:rsidRDefault="00716B00" w:rsidP="0048734D">
            <w:pPr>
              <w:spacing w:line="276" w:lineRule="auto"/>
              <w:jc w:val="right"/>
              <w:rPr>
                <w:rFonts w:ascii="Arial" w:eastAsia="Calibri" w:hAnsi="Arial" w:cs="Arial"/>
                <w:b/>
              </w:rPr>
            </w:pPr>
            <w:r w:rsidRPr="009025F0">
              <w:rPr>
                <w:rFonts w:ascii="Arial" w:eastAsia="Calibri" w:hAnsi="Arial" w:cs="Arial"/>
                <w:b/>
              </w:rPr>
              <w:t>2019-20</w:t>
            </w:r>
          </w:p>
        </w:tc>
        <w:tc>
          <w:tcPr>
            <w:tcW w:w="1654" w:type="dxa"/>
            <w:shd w:val="clear" w:color="auto" w:fill="8EAADB" w:themeFill="accent1" w:themeFillTint="99"/>
            <w:vAlign w:val="center"/>
          </w:tcPr>
          <w:p w14:paraId="3D1DFCEA" w14:textId="77777777" w:rsidR="00716B00" w:rsidRPr="009025F0" w:rsidRDefault="00716B00" w:rsidP="0048734D">
            <w:pPr>
              <w:spacing w:line="276" w:lineRule="auto"/>
              <w:jc w:val="right"/>
              <w:rPr>
                <w:rFonts w:ascii="Arial" w:eastAsia="Calibri" w:hAnsi="Arial" w:cs="Arial"/>
                <w:b/>
              </w:rPr>
            </w:pPr>
            <w:r w:rsidRPr="009025F0">
              <w:rPr>
                <w:rFonts w:ascii="Arial" w:eastAsia="Calibri" w:hAnsi="Arial" w:cs="Arial"/>
                <w:b/>
              </w:rPr>
              <w:t>2020-21</w:t>
            </w:r>
          </w:p>
        </w:tc>
      </w:tr>
      <w:tr w:rsidR="00716B00" w:rsidRPr="009025F0" w14:paraId="0ED666D8" w14:textId="77777777" w:rsidTr="00FE399C">
        <w:tc>
          <w:tcPr>
            <w:tcW w:w="4815" w:type="dxa"/>
            <w:shd w:val="clear" w:color="auto" w:fill="D9E2F3" w:themeFill="accent1" w:themeFillTint="33"/>
          </w:tcPr>
          <w:p w14:paraId="3A3BE7C6" w14:textId="77777777" w:rsidR="00716B00" w:rsidRPr="009025F0" w:rsidRDefault="00716B00" w:rsidP="0048734D">
            <w:pPr>
              <w:spacing w:line="276" w:lineRule="auto"/>
              <w:rPr>
                <w:rFonts w:ascii="Arial" w:eastAsia="Calibri" w:hAnsi="Arial" w:cs="Arial"/>
                <w:bCs/>
              </w:rPr>
            </w:pPr>
            <w:r w:rsidRPr="009025F0">
              <w:rPr>
                <w:rFonts w:ascii="Arial" w:eastAsia="Calibri" w:hAnsi="Arial" w:cs="Arial"/>
                <w:bCs/>
              </w:rPr>
              <w:t>Total PBOR amount claimed</w:t>
            </w:r>
          </w:p>
        </w:tc>
        <w:tc>
          <w:tcPr>
            <w:tcW w:w="1653" w:type="dxa"/>
            <w:shd w:val="clear" w:color="auto" w:fill="auto"/>
          </w:tcPr>
          <w:p w14:paraId="2737708C" w14:textId="77777777" w:rsidR="00716B00" w:rsidRPr="009025F0" w:rsidRDefault="00716B00" w:rsidP="0048734D">
            <w:pPr>
              <w:spacing w:line="276" w:lineRule="auto"/>
              <w:jc w:val="right"/>
              <w:rPr>
                <w:rFonts w:ascii="Arial" w:eastAsia="Calibri" w:hAnsi="Arial" w:cs="Arial"/>
                <w:bCs/>
              </w:rPr>
            </w:pPr>
            <w:r>
              <w:rPr>
                <w:rFonts w:ascii="Arial" w:eastAsia="Calibri" w:hAnsi="Arial" w:cs="Arial"/>
                <w:bCs/>
              </w:rPr>
              <w:t>$435,130</w:t>
            </w:r>
          </w:p>
        </w:tc>
        <w:tc>
          <w:tcPr>
            <w:tcW w:w="1654" w:type="dxa"/>
            <w:shd w:val="clear" w:color="auto" w:fill="auto"/>
          </w:tcPr>
          <w:p w14:paraId="14E567A1"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$307,020</w:t>
            </w:r>
          </w:p>
        </w:tc>
        <w:tc>
          <w:tcPr>
            <w:tcW w:w="1654" w:type="dxa"/>
            <w:shd w:val="clear" w:color="auto" w:fill="auto"/>
          </w:tcPr>
          <w:p w14:paraId="3FC54AE1"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$484,043</w:t>
            </w:r>
          </w:p>
        </w:tc>
      </w:tr>
      <w:tr w:rsidR="00716B00" w:rsidRPr="009025F0" w14:paraId="257536ED" w14:textId="77777777" w:rsidTr="00FE399C">
        <w:tc>
          <w:tcPr>
            <w:tcW w:w="4815" w:type="dxa"/>
            <w:shd w:val="clear" w:color="auto" w:fill="D9E2F3" w:themeFill="accent1" w:themeFillTint="33"/>
          </w:tcPr>
          <w:p w14:paraId="52341C6C" w14:textId="77777777" w:rsidR="00716B00" w:rsidRPr="009025F0" w:rsidRDefault="00716B00" w:rsidP="0048734D">
            <w:pPr>
              <w:spacing w:line="276" w:lineRule="auto"/>
              <w:rPr>
                <w:rFonts w:ascii="Arial" w:eastAsia="Calibri" w:hAnsi="Arial" w:cs="Arial"/>
                <w:bCs/>
              </w:rPr>
            </w:pPr>
            <w:r w:rsidRPr="009025F0">
              <w:rPr>
                <w:rFonts w:ascii="Arial" w:eastAsia="Calibri" w:hAnsi="Arial" w:cs="Arial"/>
                <w:bCs/>
              </w:rPr>
              <w:t>Total number of days claimed</w:t>
            </w:r>
          </w:p>
        </w:tc>
        <w:tc>
          <w:tcPr>
            <w:tcW w:w="1653" w:type="dxa"/>
            <w:shd w:val="clear" w:color="auto" w:fill="auto"/>
          </w:tcPr>
          <w:p w14:paraId="34333EAA" w14:textId="77777777" w:rsidR="00716B00" w:rsidRPr="009025F0" w:rsidRDefault="00716B00" w:rsidP="0048734D">
            <w:pPr>
              <w:spacing w:line="276" w:lineRule="auto"/>
              <w:jc w:val="right"/>
              <w:rPr>
                <w:rFonts w:ascii="Arial" w:eastAsia="Calibri" w:hAnsi="Arial" w:cs="Arial"/>
                <w:bCs/>
              </w:rPr>
            </w:pPr>
            <w:r>
              <w:rPr>
                <w:rFonts w:ascii="Arial" w:eastAsia="Calibri" w:hAnsi="Arial" w:cs="Arial"/>
                <w:bCs/>
              </w:rPr>
              <w:t>4,042</w:t>
            </w:r>
          </w:p>
        </w:tc>
        <w:tc>
          <w:tcPr>
            <w:tcW w:w="1654" w:type="dxa"/>
            <w:shd w:val="clear" w:color="auto" w:fill="auto"/>
          </w:tcPr>
          <w:p w14:paraId="2CF7DB06"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2924</w:t>
            </w:r>
          </w:p>
        </w:tc>
        <w:tc>
          <w:tcPr>
            <w:tcW w:w="1654" w:type="dxa"/>
            <w:shd w:val="clear" w:color="auto" w:fill="auto"/>
          </w:tcPr>
          <w:p w14:paraId="3B9A31CC"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3561</w:t>
            </w:r>
          </w:p>
        </w:tc>
      </w:tr>
      <w:tr w:rsidR="00716B00" w:rsidRPr="009025F0" w14:paraId="6615137E" w14:textId="77777777" w:rsidTr="00FE399C">
        <w:tc>
          <w:tcPr>
            <w:tcW w:w="4815" w:type="dxa"/>
            <w:shd w:val="clear" w:color="auto" w:fill="D9E2F3" w:themeFill="accent1" w:themeFillTint="33"/>
          </w:tcPr>
          <w:p w14:paraId="1CC8F772" w14:textId="77777777" w:rsidR="00716B00" w:rsidRPr="009025F0" w:rsidRDefault="00716B00" w:rsidP="0048734D">
            <w:pPr>
              <w:spacing w:line="276" w:lineRule="auto"/>
              <w:rPr>
                <w:rFonts w:ascii="Arial" w:eastAsia="Calibri" w:hAnsi="Arial" w:cs="Arial"/>
                <w:bCs/>
              </w:rPr>
            </w:pPr>
            <w:r w:rsidRPr="009025F0">
              <w:rPr>
                <w:rFonts w:ascii="Arial" w:eastAsia="Calibri" w:hAnsi="Arial" w:cs="Arial"/>
                <w:bCs/>
              </w:rPr>
              <w:t>Average PBOR amount claimed per member</w:t>
            </w:r>
          </w:p>
        </w:tc>
        <w:tc>
          <w:tcPr>
            <w:tcW w:w="1653" w:type="dxa"/>
            <w:shd w:val="clear" w:color="auto" w:fill="auto"/>
          </w:tcPr>
          <w:p w14:paraId="64C97F9E" w14:textId="77777777" w:rsidR="00716B00" w:rsidRPr="009025F0" w:rsidRDefault="00716B00" w:rsidP="0048734D">
            <w:pPr>
              <w:spacing w:line="276" w:lineRule="auto"/>
              <w:jc w:val="right"/>
              <w:rPr>
                <w:rFonts w:ascii="Arial" w:eastAsia="Calibri" w:hAnsi="Arial" w:cs="Arial"/>
                <w:bCs/>
              </w:rPr>
            </w:pPr>
            <w:r>
              <w:rPr>
                <w:rFonts w:ascii="Arial" w:eastAsia="Calibri" w:hAnsi="Arial" w:cs="Arial"/>
                <w:bCs/>
              </w:rPr>
              <w:t>$4,678</w:t>
            </w:r>
          </w:p>
        </w:tc>
        <w:tc>
          <w:tcPr>
            <w:tcW w:w="1654" w:type="dxa"/>
            <w:shd w:val="clear" w:color="auto" w:fill="auto"/>
          </w:tcPr>
          <w:p w14:paraId="2131BAE0"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$3</w:t>
            </w:r>
            <w:r>
              <w:rPr>
                <w:rFonts w:ascii="Arial" w:eastAsia="Calibri" w:hAnsi="Arial" w:cs="Arial"/>
                <w:bCs/>
              </w:rPr>
              <w:t>,</w:t>
            </w:r>
            <w:r w:rsidRPr="009025F0">
              <w:rPr>
                <w:rFonts w:ascii="Arial" w:eastAsia="Calibri" w:hAnsi="Arial" w:cs="Arial"/>
                <w:bCs/>
              </w:rPr>
              <w:t>232</w:t>
            </w:r>
          </w:p>
        </w:tc>
        <w:tc>
          <w:tcPr>
            <w:tcW w:w="1654" w:type="dxa"/>
            <w:shd w:val="clear" w:color="auto" w:fill="auto"/>
          </w:tcPr>
          <w:p w14:paraId="0BDADB20"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$4</w:t>
            </w:r>
            <w:r>
              <w:rPr>
                <w:rFonts w:ascii="Arial" w:eastAsia="Calibri" w:hAnsi="Arial" w:cs="Arial"/>
                <w:bCs/>
              </w:rPr>
              <w:t>,</w:t>
            </w:r>
            <w:r w:rsidRPr="009025F0">
              <w:rPr>
                <w:rFonts w:ascii="Arial" w:eastAsia="Calibri" w:hAnsi="Arial" w:cs="Arial"/>
                <w:bCs/>
              </w:rPr>
              <w:t>840</w:t>
            </w:r>
          </w:p>
        </w:tc>
      </w:tr>
      <w:tr w:rsidR="00716B00" w:rsidRPr="009025F0" w14:paraId="61A3EC56" w14:textId="77777777" w:rsidTr="00FE399C">
        <w:tc>
          <w:tcPr>
            <w:tcW w:w="4815" w:type="dxa"/>
            <w:shd w:val="clear" w:color="auto" w:fill="D9E2F3" w:themeFill="accent1" w:themeFillTint="33"/>
          </w:tcPr>
          <w:p w14:paraId="5199C3CE" w14:textId="77777777" w:rsidR="00716B00" w:rsidRPr="009025F0" w:rsidRDefault="00716B00" w:rsidP="0048734D">
            <w:pPr>
              <w:spacing w:line="276" w:lineRule="auto"/>
              <w:rPr>
                <w:rFonts w:ascii="Arial" w:eastAsia="Calibri" w:hAnsi="Arial" w:cs="Arial"/>
                <w:bCs/>
              </w:rPr>
            </w:pPr>
            <w:r w:rsidRPr="009025F0">
              <w:rPr>
                <w:rFonts w:ascii="Arial" w:eastAsia="Calibri" w:hAnsi="Arial" w:cs="Arial"/>
                <w:bCs/>
              </w:rPr>
              <w:t>Average number of days claimed per member</w:t>
            </w:r>
          </w:p>
        </w:tc>
        <w:tc>
          <w:tcPr>
            <w:tcW w:w="1653" w:type="dxa"/>
            <w:shd w:val="clear" w:color="auto" w:fill="auto"/>
          </w:tcPr>
          <w:p w14:paraId="12F9996B" w14:textId="77777777" w:rsidR="00716B00" w:rsidRPr="009025F0" w:rsidRDefault="00716B00" w:rsidP="0048734D">
            <w:pPr>
              <w:spacing w:line="276" w:lineRule="auto"/>
              <w:jc w:val="right"/>
              <w:rPr>
                <w:rFonts w:ascii="Arial" w:eastAsia="Calibri" w:hAnsi="Arial" w:cs="Arial"/>
                <w:bCs/>
              </w:rPr>
            </w:pPr>
            <w:r>
              <w:rPr>
                <w:rFonts w:ascii="Arial" w:eastAsia="Calibri" w:hAnsi="Arial" w:cs="Arial"/>
                <w:bCs/>
              </w:rPr>
              <w:t>43.5</w:t>
            </w:r>
          </w:p>
        </w:tc>
        <w:tc>
          <w:tcPr>
            <w:tcW w:w="1654" w:type="dxa"/>
            <w:shd w:val="clear" w:color="auto" w:fill="auto"/>
          </w:tcPr>
          <w:p w14:paraId="0C7F60B6"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30.7</w:t>
            </w:r>
          </w:p>
        </w:tc>
        <w:tc>
          <w:tcPr>
            <w:tcW w:w="1654" w:type="dxa"/>
            <w:shd w:val="clear" w:color="auto" w:fill="auto"/>
          </w:tcPr>
          <w:p w14:paraId="0DADDA7F" w14:textId="77777777" w:rsidR="00716B00" w:rsidRPr="009025F0" w:rsidRDefault="00716B00" w:rsidP="0048734D">
            <w:pPr>
              <w:spacing w:line="276" w:lineRule="auto"/>
              <w:jc w:val="right"/>
              <w:rPr>
                <w:rFonts w:ascii="Arial" w:eastAsia="Calibri" w:hAnsi="Arial" w:cs="Arial"/>
                <w:bCs/>
              </w:rPr>
            </w:pPr>
            <w:r w:rsidRPr="009025F0">
              <w:rPr>
                <w:rFonts w:ascii="Arial" w:eastAsia="Calibri" w:hAnsi="Arial" w:cs="Arial"/>
                <w:bCs/>
              </w:rPr>
              <w:t>35.6</w:t>
            </w:r>
          </w:p>
        </w:tc>
      </w:tr>
    </w:tbl>
    <w:p w14:paraId="2EF0C975" w14:textId="4E3E4297" w:rsidR="00C9434E" w:rsidRDefault="001A71A0" w:rsidP="00FE399C">
      <w:pPr>
        <w:spacing w:before="200" w:after="120" w:line="276" w:lineRule="auto"/>
        <w:jc w:val="both"/>
        <w:rPr>
          <w:rFonts w:ascii="Arial" w:eastAsia="Calibri" w:hAnsi="Arial" w:cs="Arial"/>
          <w:bCs/>
        </w:rPr>
      </w:pPr>
      <w:r>
        <w:rPr>
          <w:rFonts w:ascii="Arial" w:eastAsia="Calibri" w:hAnsi="Arial" w:cs="Arial"/>
          <w:bCs/>
        </w:rPr>
        <w:t>The Tribunal noted th</w:t>
      </w:r>
      <w:r w:rsidR="000748B7">
        <w:rPr>
          <w:rFonts w:ascii="Arial" w:eastAsia="Calibri" w:hAnsi="Arial" w:cs="Arial"/>
          <w:bCs/>
        </w:rPr>
        <w:t>at</w:t>
      </w:r>
      <w:r>
        <w:rPr>
          <w:rFonts w:ascii="Arial" w:eastAsia="Calibri" w:hAnsi="Arial" w:cs="Arial"/>
          <w:bCs/>
        </w:rPr>
        <w:t xml:space="preserve"> </w:t>
      </w:r>
      <w:r w:rsidR="00C31B86">
        <w:rPr>
          <w:rFonts w:ascii="Arial" w:eastAsia="Calibri" w:hAnsi="Arial" w:cs="Arial"/>
          <w:bCs/>
        </w:rPr>
        <w:t>$</w:t>
      </w:r>
      <w:r w:rsidR="00846BD3">
        <w:rPr>
          <w:rFonts w:ascii="Arial" w:eastAsia="Calibri" w:hAnsi="Arial" w:cs="Arial"/>
          <w:bCs/>
        </w:rPr>
        <w:t>484,043</w:t>
      </w:r>
      <w:r w:rsidR="00C31B86">
        <w:rPr>
          <w:rFonts w:ascii="Arial" w:eastAsia="Calibri" w:hAnsi="Arial" w:cs="Arial"/>
          <w:bCs/>
        </w:rPr>
        <w:t xml:space="preserve"> </w:t>
      </w:r>
      <w:proofErr w:type="gramStart"/>
      <w:r w:rsidR="00F61429">
        <w:rPr>
          <w:rFonts w:ascii="Arial" w:eastAsia="Calibri" w:hAnsi="Arial" w:cs="Arial"/>
          <w:bCs/>
        </w:rPr>
        <w:t xml:space="preserve">was </w:t>
      </w:r>
      <w:r w:rsidR="00785321">
        <w:rPr>
          <w:rFonts w:ascii="Arial" w:eastAsia="Calibri" w:hAnsi="Arial" w:cs="Arial"/>
          <w:bCs/>
        </w:rPr>
        <w:t>claimed</w:t>
      </w:r>
      <w:proofErr w:type="gramEnd"/>
      <w:r w:rsidR="00785321">
        <w:rPr>
          <w:rFonts w:ascii="Arial" w:eastAsia="Calibri" w:hAnsi="Arial" w:cs="Arial"/>
          <w:bCs/>
        </w:rPr>
        <w:t xml:space="preserve"> </w:t>
      </w:r>
      <w:r w:rsidR="00F61429">
        <w:rPr>
          <w:rFonts w:ascii="Arial" w:eastAsia="Calibri" w:hAnsi="Arial" w:cs="Arial"/>
          <w:bCs/>
        </w:rPr>
        <w:t>under</w:t>
      </w:r>
      <w:r w:rsidR="00717C4B">
        <w:rPr>
          <w:rFonts w:ascii="Arial" w:eastAsia="Calibri" w:hAnsi="Arial" w:cs="Arial"/>
          <w:bCs/>
        </w:rPr>
        <w:t xml:space="preserve"> </w:t>
      </w:r>
      <w:r w:rsidR="00F61429">
        <w:rPr>
          <w:rFonts w:ascii="Arial" w:eastAsia="Calibri" w:hAnsi="Arial" w:cs="Arial"/>
          <w:bCs/>
        </w:rPr>
        <w:t xml:space="preserve">PBOR </w:t>
      </w:r>
      <w:r w:rsidR="00785321">
        <w:rPr>
          <w:rFonts w:ascii="Arial" w:eastAsia="Calibri" w:hAnsi="Arial" w:cs="Arial"/>
          <w:bCs/>
        </w:rPr>
        <w:t>in 2020</w:t>
      </w:r>
      <w:r w:rsidR="00785321">
        <w:rPr>
          <w:rFonts w:ascii="Arial" w:eastAsia="Calibri" w:hAnsi="Arial" w:cs="Arial"/>
          <w:bCs/>
        </w:rPr>
        <w:noBreakHyphen/>
        <w:t>21</w:t>
      </w:r>
      <w:r w:rsidR="00F54AE2">
        <w:rPr>
          <w:rFonts w:ascii="Arial" w:eastAsia="Calibri" w:hAnsi="Arial" w:cs="Arial"/>
          <w:bCs/>
        </w:rPr>
        <w:t xml:space="preserve">, </w:t>
      </w:r>
      <w:r w:rsidR="008971B2">
        <w:rPr>
          <w:rFonts w:ascii="Arial" w:eastAsia="Calibri" w:hAnsi="Arial" w:cs="Arial"/>
          <w:bCs/>
        </w:rPr>
        <w:t xml:space="preserve">an </w:t>
      </w:r>
      <w:r w:rsidR="0061236D">
        <w:rPr>
          <w:rFonts w:ascii="Arial" w:eastAsia="Calibri" w:hAnsi="Arial" w:cs="Arial"/>
          <w:bCs/>
        </w:rPr>
        <w:t>increase</w:t>
      </w:r>
      <w:r w:rsidR="008971B2">
        <w:rPr>
          <w:rFonts w:ascii="Arial" w:eastAsia="Calibri" w:hAnsi="Arial" w:cs="Arial"/>
          <w:bCs/>
        </w:rPr>
        <w:t xml:space="preserve"> of </w:t>
      </w:r>
      <w:r w:rsidR="002540DC">
        <w:rPr>
          <w:rFonts w:ascii="Arial" w:eastAsia="Calibri" w:hAnsi="Arial" w:cs="Arial"/>
          <w:bCs/>
        </w:rPr>
        <w:t>$</w:t>
      </w:r>
      <w:r w:rsidR="005A2143">
        <w:rPr>
          <w:rFonts w:ascii="Arial" w:eastAsia="Calibri" w:hAnsi="Arial" w:cs="Arial"/>
          <w:bCs/>
        </w:rPr>
        <w:t>177,</w:t>
      </w:r>
      <w:r w:rsidR="00846BD3">
        <w:rPr>
          <w:rFonts w:ascii="Arial" w:eastAsia="Calibri" w:hAnsi="Arial" w:cs="Arial"/>
          <w:bCs/>
        </w:rPr>
        <w:t xml:space="preserve">023 </w:t>
      </w:r>
      <w:r w:rsidR="005A2143">
        <w:rPr>
          <w:rFonts w:ascii="Arial" w:eastAsia="Calibri" w:hAnsi="Arial" w:cs="Arial"/>
          <w:bCs/>
        </w:rPr>
        <w:t xml:space="preserve">from </w:t>
      </w:r>
      <w:r w:rsidR="0061236D">
        <w:rPr>
          <w:rFonts w:ascii="Arial" w:eastAsia="Calibri" w:hAnsi="Arial" w:cs="Arial"/>
          <w:bCs/>
        </w:rPr>
        <w:t>2019-20</w:t>
      </w:r>
      <w:r w:rsidR="00785321">
        <w:rPr>
          <w:rFonts w:ascii="Arial" w:eastAsia="Calibri" w:hAnsi="Arial" w:cs="Arial"/>
          <w:bCs/>
        </w:rPr>
        <w:t>. This may be a result of</w:t>
      </w:r>
      <w:r w:rsidR="00C9434E">
        <w:rPr>
          <w:rFonts w:ascii="Arial" w:eastAsia="Calibri" w:hAnsi="Arial" w:cs="Arial"/>
          <w:bCs/>
        </w:rPr>
        <w:t>:</w:t>
      </w:r>
    </w:p>
    <w:p w14:paraId="1E24BC5F" w14:textId="7F2F2559" w:rsidR="00785321" w:rsidRDefault="001C35AE" w:rsidP="00FE399C">
      <w:pPr>
        <w:pStyle w:val="Revision"/>
        <w:numPr>
          <w:ilvl w:val="0"/>
          <w:numId w:val="110"/>
        </w:numPr>
        <w:spacing w:before="120" w:after="120" w:line="276" w:lineRule="auto"/>
        <w:ind w:left="714" w:hanging="357"/>
        <w:jc w:val="both"/>
        <w:rPr>
          <w:rFonts w:ascii="Arial" w:eastAsia="Calibri" w:hAnsi="Arial" w:cs="Arial"/>
          <w:bCs/>
        </w:rPr>
      </w:pPr>
      <w:r>
        <w:rPr>
          <w:rFonts w:ascii="Arial" w:eastAsia="Calibri" w:hAnsi="Arial" w:cs="Arial"/>
          <w:bCs/>
        </w:rPr>
        <w:t xml:space="preserve">members </w:t>
      </w:r>
      <w:r w:rsidR="00785321" w:rsidRPr="00C9434E">
        <w:rPr>
          <w:rFonts w:ascii="Arial" w:eastAsia="Calibri" w:hAnsi="Arial" w:cs="Arial"/>
        </w:rPr>
        <w:t>being</w:t>
      </w:r>
      <w:r w:rsidR="00785321">
        <w:rPr>
          <w:rFonts w:ascii="Arial" w:eastAsia="Calibri" w:hAnsi="Arial" w:cs="Arial"/>
          <w:bCs/>
        </w:rPr>
        <w:t xml:space="preserve"> able to travel to Brisbane for parliamentary business more frequently in 2020-21 </w:t>
      </w:r>
      <w:proofErr w:type="gramStart"/>
      <w:r w:rsidR="00785321">
        <w:rPr>
          <w:rFonts w:ascii="Arial" w:eastAsia="Calibri" w:hAnsi="Arial" w:cs="Arial"/>
          <w:bCs/>
        </w:rPr>
        <w:t>as a result of</w:t>
      </w:r>
      <w:proofErr w:type="gramEnd"/>
      <w:r w:rsidR="00785321">
        <w:rPr>
          <w:rFonts w:ascii="Arial" w:eastAsia="Calibri" w:hAnsi="Arial" w:cs="Arial"/>
          <w:bCs/>
        </w:rPr>
        <w:t xml:space="preserve"> the easing COVID-19 pandemic restrictions</w:t>
      </w:r>
    </w:p>
    <w:p w14:paraId="1DDBF23A" w14:textId="4EB8B2B4" w:rsidR="00FD7356" w:rsidRDefault="001C35AE" w:rsidP="00FE399C">
      <w:pPr>
        <w:pStyle w:val="Revision"/>
        <w:numPr>
          <w:ilvl w:val="0"/>
          <w:numId w:val="110"/>
        </w:numPr>
        <w:spacing w:before="120" w:after="200" w:line="276" w:lineRule="auto"/>
        <w:ind w:left="714" w:hanging="357"/>
        <w:jc w:val="both"/>
        <w:rPr>
          <w:rFonts w:ascii="Arial" w:eastAsia="Calibri" w:hAnsi="Arial" w:cs="Arial"/>
          <w:bCs/>
        </w:rPr>
      </w:pPr>
      <w:r>
        <w:rPr>
          <w:rFonts w:ascii="Arial" w:eastAsia="Calibri" w:hAnsi="Arial" w:cs="Arial"/>
          <w:bCs/>
        </w:rPr>
        <w:t>i</w:t>
      </w:r>
      <w:r w:rsidR="00FC19B5">
        <w:rPr>
          <w:rFonts w:ascii="Arial" w:eastAsia="Calibri" w:hAnsi="Arial" w:cs="Arial"/>
          <w:bCs/>
        </w:rPr>
        <w:t xml:space="preserve">ncrease in claimable amount of </w:t>
      </w:r>
      <w:r w:rsidR="009F63C0">
        <w:rPr>
          <w:rFonts w:ascii="Arial" w:eastAsia="Calibri" w:hAnsi="Arial" w:cs="Arial"/>
          <w:bCs/>
        </w:rPr>
        <w:t xml:space="preserve">the </w:t>
      </w:r>
      <w:r w:rsidR="00FC19B5">
        <w:rPr>
          <w:rFonts w:ascii="Arial" w:eastAsia="Calibri" w:hAnsi="Arial" w:cs="Arial"/>
          <w:bCs/>
        </w:rPr>
        <w:t>PBOR following Determination 21/2020 which took effect on 1 November 2020</w:t>
      </w:r>
    </w:p>
    <w:p w14:paraId="32D377BC" w14:textId="05584181" w:rsidR="00717C4B" w:rsidRDefault="00717C4B" w:rsidP="00FE399C">
      <w:pPr>
        <w:spacing w:before="200" w:after="200" w:line="276" w:lineRule="auto"/>
        <w:jc w:val="both"/>
        <w:rPr>
          <w:rFonts w:ascii="Arial" w:eastAsia="Calibri" w:hAnsi="Arial" w:cs="Arial"/>
          <w:bCs/>
        </w:rPr>
      </w:pPr>
      <w:r>
        <w:rPr>
          <w:rFonts w:ascii="Arial" w:eastAsia="Calibri" w:hAnsi="Arial" w:cs="Arial"/>
          <w:bCs/>
        </w:rPr>
        <w:t xml:space="preserve">The </w:t>
      </w:r>
      <w:r w:rsidR="007B60DD">
        <w:rPr>
          <w:rFonts w:ascii="Arial" w:eastAsia="Calibri" w:hAnsi="Arial" w:cs="Arial"/>
          <w:bCs/>
        </w:rPr>
        <w:t>total amount of P</w:t>
      </w:r>
      <w:r w:rsidR="00975F7A">
        <w:rPr>
          <w:rFonts w:ascii="Arial" w:eastAsia="Calibri" w:hAnsi="Arial" w:cs="Arial"/>
          <w:bCs/>
        </w:rPr>
        <w:t>BOR</w:t>
      </w:r>
      <w:r w:rsidR="007B60DD">
        <w:rPr>
          <w:rFonts w:ascii="Arial" w:eastAsia="Calibri" w:hAnsi="Arial" w:cs="Arial"/>
          <w:bCs/>
        </w:rPr>
        <w:t xml:space="preserve"> claim</w:t>
      </w:r>
      <w:r w:rsidR="00975F7A">
        <w:rPr>
          <w:rFonts w:ascii="Arial" w:eastAsia="Calibri" w:hAnsi="Arial" w:cs="Arial"/>
          <w:bCs/>
        </w:rPr>
        <w:t>ed</w:t>
      </w:r>
      <w:r w:rsidR="007B60DD">
        <w:rPr>
          <w:rFonts w:ascii="Arial" w:eastAsia="Calibri" w:hAnsi="Arial" w:cs="Arial"/>
          <w:bCs/>
        </w:rPr>
        <w:t xml:space="preserve"> in 2020-21</w:t>
      </w:r>
      <w:r w:rsidR="00975F7A">
        <w:rPr>
          <w:rFonts w:ascii="Arial" w:eastAsia="Calibri" w:hAnsi="Arial" w:cs="Arial"/>
          <w:bCs/>
        </w:rPr>
        <w:t xml:space="preserve"> </w:t>
      </w:r>
      <w:r w:rsidR="007B60DD">
        <w:rPr>
          <w:rFonts w:ascii="Arial" w:eastAsia="Calibri" w:hAnsi="Arial" w:cs="Arial"/>
          <w:bCs/>
        </w:rPr>
        <w:t xml:space="preserve">is higher than </w:t>
      </w:r>
      <w:r w:rsidR="00975F7A">
        <w:rPr>
          <w:rFonts w:ascii="Arial" w:eastAsia="Calibri" w:hAnsi="Arial" w:cs="Arial"/>
          <w:bCs/>
        </w:rPr>
        <w:t>that</w:t>
      </w:r>
      <w:r w:rsidR="007B60DD">
        <w:rPr>
          <w:rFonts w:ascii="Arial" w:eastAsia="Calibri" w:hAnsi="Arial" w:cs="Arial"/>
          <w:bCs/>
        </w:rPr>
        <w:t xml:space="preserve"> claimed in 2018-19</w:t>
      </w:r>
      <w:r w:rsidR="00422473">
        <w:rPr>
          <w:rFonts w:ascii="Arial" w:eastAsia="Calibri" w:hAnsi="Arial" w:cs="Arial"/>
          <w:bCs/>
        </w:rPr>
        <w:t>, however, the average number of days claimed per member is lower (</w:t>
      </w:r>
      <w:r w:rsidR="00F97CDA">
        <w:rPr>
          <w:rFonts w:ascii="Arial" w:eastAsia="Calibri" w:hAnsi="Arial" w:cs="Arial"/>
          <w:bCs/>
        </w:rPr>
        <w:t>2018-19 – 43.5 and 2020-21 – 35.6)</w:t>
      </w:r>
    </w:p>
    <w:p w14:paraId="0424278A" w14:textId="0F1E4D99" w:rsidR="00785321" w:rsidRDefault="001A71A0" w:rsidP="008125D1">
      <w:pPr>
        <w:spacing w:before="200" w:after="200" w:line="276" w:lineRule="auto"/>
        <w:jc w:val="both"/>
        <w:rPr>
          <w:rFonts w:ascii="Arial" w:eastAsia="Calibri" w:hAnsi="Arial" w:cs="Arial"/>
          <w:bCs/>
        </w:rPr>
      </w:pPr>
      <w:r>
        <w:rPr>
          <w:rFonts w:ascii="Arial" w:eastAsia="Calibri" w:hAnsi="Arial" w:cs="Arial"/>
          <w:bCs/>
        </w:rPr>
        <w:t xml:space="preserve">The Tribunal </w:t>
      </w:r>
      <w:r w:rsidR="00CF2886">
        <w:rPr>
          <w:rFonts w:ascii="Arial" w:eastAsia="Calibri" w:hAnsi="Arial" w:cs="Arial"/>
          <w:bCs/>
        </w:rPr>
        <w:t xml:space="preserve">also </w:t>
      </w:r>
      <w:r>
        <w:rPr>
          <w:rFonts w:ascii="Arial" w:eastAsia="Calibri" w:hAnsi="Arial" w:cs="Arial"/>
          <w:bCs/>
        </w:rPr>
        <w:t xml:space="preserve">noted </w:t>
      </w:r>
      <w:r w:rsidR="00C45DC1">
        <w:rPr>
          <w:rFonts w:ascii="Arial" w:eastAsia="Calibri" w:hAnsi="Arial" w:cs="Arial"/>
          <w:bCs/>
        </w:rPr>
        <w:t xml:space="preserve">that </w:t>
      </w:r>
      <w:r w:rsidR="00785321">
        <w:rPr>
          <w:rFonts w:ascii="Arial" w:eastAsia="Calibri" w:hAnsi="Arial" w:cs="Arial"/>
          <w:bCs/>
        </w:rPr>
        <w:t xml:space="preserve">Opposition Spokespersons tend to claim the PBOR at a higher rate as they </w:t>
      </w:r>
      <w:proofErr w:type="gramStart"/>
      <w:r w:rsidR="00785321">
        <w:rPr>
          <w:rFonts w:ascii="Arial" w:eastAsia="Calibri" w:hAnsi="Arial" w:cs="Arial"/>
          <w:bCs/>
        </w:rPr>
        <w:t>are required</w:t>
      </w:r>
      <w:proofErr w:type="gramEnd"/>
      <w:r w:rsidR="00785321">
        <w:rPr>
          <w:rFonts w:ascii="Arial" w:eastAsia="Calibri" w:hAnsi="Arial" w:cs="Arial"/>
          <w:bCs/>
        </w:rPr>
        <w:t xml:space="preserve"> to travel to Brisbane for Parliamentary Business on a regular basis as part of their role and responsibilities. </w:t>
      </w:r>
    </w:p>
    <w:p w14:paraId="7C1A50DE" w14:textId="77777777" w:rsidR="00785321" w:rsidRPr="00C45DC1" w:rsidRDefault="00785321" w:rsidP="00946396">
      <w:pPr>
        <w:keepNext/>
        <w:keepLines/>
        <w:spacing w:after="160" w:line="256" w:lineRule="auto"/>
        <w:rPr>
          <w:rFonts w:ascii="Arial" w:hAnsi="Arial" w:cs="Arial"/>
          <w:i/>
          <w:iCs/>
          <w:color w:val="4F81BD"/>
          <w:spacing w:val="15"/>
        </w:rPr>
      </w:pPr>
      <w:bookmarkStart w:id="6" w:name="_Toc85549125"/>
      <w:bookmarkStart w:id="7" w:name="_Toc89443988"/>
      <w:r w:rsidRPr="00C45DC1">
        <w:rPr>
          <w:rFonts w:ascii="Arial" w:hAnsi="Arial" w:cs="Arial"/>
          <w:i/>
          <w:iCs/>
          <w:color w:val="4F81BD"/>
          <w:spacing w:val="15"/>
        </w:rPr>
        <w:t>Air Warrants and alternate travel</w:t>
      </w:r>
      <w:bookmarkEnd w:id="6"/>
      <w:bookmarkEnd w:id="7"/>
    </w:p>
    <w:p w14:paraId="189D4D49" w14:textId="1008630F" w:rsidR="00785321" w:rsidRPr="00FE399C" w:rsidRDefault="00785321" w:rsidP="00FE399C">
      <w:pPr>
        <w:spacing w:before="200" w:after="200" w:line="276" w:lineRule="auto"/>
        <w:jc w:val="both"/>
        <w:rPr>
          <w:rFonts w:ascii="Arial" w:eastAsia="Calibri" w:hAnsi="Arial" w:cs="Arial"/>
        </w:rPr>
      </w:pPr>
      <w:r>
        <w:rPr>
          <w:rFonts w:ascii="Arial" w:eastAsia="Calibri" w:hAnsi="Arial" w:cs="Arial"/>
        </w:rPr>
        <w:t xml:space="preserve">Twenty-four members representing certain regional electorates </w:t>
      </w:r>
      <w:proofErr w:type="gramStart"/>
      <w:r>
        <w:rPr>
          <w:rFonts w:ascii="Arial" w:eastAsia="Calibri" w:hAnsi="Arial" w:cs="Arial"/>
        </w:rPr>
        <w:t>are provided</w:t>
      </w:r>
      <w:proofErr w:type="gramEnd"/>
      <w:r>
        <w:rPr>
          <w:rFonts w:ascii="Arial" w:eastAsia="Calibri" w:hAnsi="Arial" w:cs="Arial"/>
        </w:rPr>
        <w:t xml:space="preserve"> with an allocation of 60 Air </w:t>
      </w:r>
      <w:r w:rsidRPr="00790326">
        <w:rPr>
          <w:rFonts w:ascii="Arial" w:eastAsia="Calibri" w:hAnsi="Arial" w:cs="Arial"/>
          <w:bCs/>
        </w:rPr>
        <w:t xml:space="preserve">Warrants per financial year to facilitate travel from the </w:t>
      </w:r>
      <w:r w:rsidR="00C45DC1">
        <w:rPr>
          <w:rFonts w:ascii="Arial" w:eastAsia="Calibri" w:hAnsi="Arial" w:cs="Arial"/>
          <w:bCs/>
        </w:rPr>
        <w:t>m</w:t>
      </w:r>
      <w:r w:rsidRPr="00790326">
        <w:rPr>
          <w:rFonts w:ascii="Arial" w:eastAsia="Calibri" w:hAnsi="Arial" w:cs="Arial"/>
          <w:bCs/>
        </w:rPr>
        <w:t>ember’s electorate to Brisbane and/or return</w:t>
      </w:r>
      <w:r w:rsidRPr="00FE399C">
        <w:rPr>
          <w:rFonts w:ascii="Arial" w:eastAsia="Calibri" w:hAnsi="Arial" w:cs="Arial"/>
        </w:rPr>
        <w:t xml:space="preserve">. </w:t>
      </w:r>
    </w:p>
    <w:p w14:paraId="65AAAE14" w14:textId="53147377" w:rsidR="00785321" w:rsidRPr="00FE399C" w:rsidRDefault="00785321" w:rsidP="008125D1">
      <w:pPr>
        <w:spacing w:before="200" w:after="200" w:line="276" w:lineRule="auto"/>
        <w:jc w:val="both"/>
        <w:rPr>
          <w:rFonts w:ascii="Arial" w:eastAsia="Calibri" w:hAnsi="Arial" w:cs="Arial"/>
        </w:rPr>
      </w:pPr>
      <w:r w:rsidRPr="00FE399C">
        <w:rPr>
          <w:rFonts w:ascii="Arial" w:eastAsia="Calibri" w:hAnsi="Arial" w:cs="Arial"/>
        </w:rPr>
        <w:lastRenderedPageBreak/>
        <w:t xml:space="preserve">Members entitled to Warrant travel are also able to </w:t>
      </w:r>
      <w:proofErr w:type="gramStart"/>
      <w:r w:rsidRPr="00FE399C">
        <w:rPr>
          <w:rFonts w:ascii="Arial" w:eastAsia="Calibri" w:hAnsi="Arial" w:cs="Arial"/>
        </w:rPr>
        <w:t>utilise</w:t>
      </w:r>
      <w:proofErr w:type="gramEnd"/>
      <w:r w:rsidRPr="00FE399C">
        <w:rPr>
          <w:rFonts w:ascii="Arial" w:eastAsia="Calibri" w:hAnsi="Arial" w:cs="Arial"/>
        </w:rPr>
        <w:t xml:space="preserve"> ‘alternate’ travel options i.e. charter flights, kilometric allowance for travel by private vehicle. The Clerk </w:t>
      </w:r>
      <w:proofErr w:type="gramStart"/>
      <w:r w:rsidRPr="00FE399C">
        <w:rPr>
          <w:rFonts w:ascii="Arial" w:eastAsia="Calibri" w:hAnsi="Arial" w:cs="Arial"/>
        </w:rPr>
        <w:t>is required</w:t>
      </w:r>
      <w:proofErr w:type="gramEnd"/>
      <w:r w:rsidRPr="00FE399C">
        <w:rPr>
          <w:rFonts w:ascii="Arial" w:eastAsia="Calibri" w:hAnsi="Arial" w:cs="Arial"/>
        </w:rPr>
        <w:t xml:space="preserve"> to review all claims and prepare an annual report regarding expenditure against the Warrant allocation. Any unused Warrants as at 30 June each year lapse. </w:t>
      </w:r>
    </w:p>
    <w:p w14:paraId="565ED581" w14:textId="2E6C7E37" w:rsidR="00E70CE1" w:rsidRPr="00FE399C" w:rsidRDefault="00AD18C8" w:rsidP="008125D1">
      <w:pPr>
        <w:spacing w:before="200" w:after="200" w:line="276" w:lineRule="auto"/>
        <w:jc w:val="both"/>
        <w:rPr>
          <w:rFonts w:ascii="Arial" w:eastAsia="Calibri" w:hAnsi="Arial" w:cs="Arial"/>
        </w:rPr>
      </w:pPr>
      <w:r w:rsidRPr="00FE399C">
        <w:rPr>
          <w:rFonts w:ascii="Arial" w:eastAsia="Calibri" w:hAnsi="Arial" w:cs="Arial"/>
        </w:rPr>
        <w:t xml:space="preserve">The Tribunal </w:t>
      </w:r>
      <w:r w:rsidR="00CF2886" w:rsidRPr="00FE399C">
        <w:rPr>
          <w:rFonts w:ascii="Arial" w:eastAsia="Calibri" w:hAnsi="Arial" w:cs="Arial"/>
        </w:rPr>
        <w:t>reviewed</w:t>
      </w:r>
      <w:r w:rsidRPr="00FE399C">
        <w:rPr>
          <w:rFonts w:ascii="Arial" w:eastAsia="Calibri" w:hAnsi="Arial" w:cs="Arial"/>
        </w:rPr>
        <w:t xml:space="preserve"> the use of Air Warrants and alternate trave</w:t>
      </w:r>
      <w:r w:rsidR="00E70CE1" w:rsidRPr="00FE399C">
        <w:rPr>
          <w:rFonts w:ascii="Arial" w:eastAsia="Calibri" w:hAnsi="Arial" w:cs="Arial"/>
        </w:rPr>
        <w:t>l</w:t>
      </w:r>
      <w:r w:rsidR="00CF2886" w:rsidRPr="00FE399C">
        <w:rPr>
          <w:rFonts w:ascii="Arial" w:eastAsia="Calibri" w:hAnsi="Arial" w:cs="Arial"/>
        </w:rPr>
        <w:t xml:space="preserve">. It </w:t>
      </w:r>
      <w:proofErr w:type="gramStart"/>
      <w:r w:rsidR="00CF2886" w:rsidRPr="00FE399C">
        <w:rPr>
          <w:rFonts w:ascii="Arial" w:eastAsia="Calibri" w:hAnsi="Arial" w:cs="Arial"/>
        </w:rPr>
        <w:t xml:space="preserve">was </w:t>
      </w:r>
      <w:r w:rsidRPr="00FE399C">
        <w:rPr>
          <w:rFonts w:ascii="Arial" w:eastAsia="Calibri" w:hAnsi="Arial" w:cs="Arial"/>
        </w:rPr>
        <w:t>noted</w:t>
      </w:r>
      <w:proofErr w:type="gramEnd"/>
      <w:r w:rsidRPr="00FE399C">
        <w:rPr>
          <w:rFonts w:ascii="Arial" w:eastAsia="Calibri" w:hAnsi="Arial" w:cs="Arial"/>
        </w:rPr>
        <w:t xml:space="preserve"> that</w:t>
      </w:r>
      <w:r w:rsidR="002C77C0" w:rsidRPr="00FE399C">
        <w:rPr>
          <w:rFonts w:ascii="Arial" w:eastAsia="Calibri" w:hAnsi="Arial" w:cs="Arial"/>
        </w:rPr>
        <w:t xml:space="preserve"> </w:t>
      </w:r>
      <w:r w:rsidRPr="00FE399C">
        <w:rPr>
          <w:rFonts w:ascii="Arial" w:eastAsia="Calibri" w:hAnsi="Arial" w:cs="Arial"/>
        </w:rPr>
        <w:t>i</w:t>
      </w:r>
      <w:r w:rsidR="00115D74" w:rsidRPr="00FE399C">
        <w:rPr>
          <w:rFonts w:ascii="Arial" w:eastAsia="Calibri" w:hAnsi="Arial" w:cs="Arial"/>
        </w:rPr>
        <w:t>n 2018-19 only two members claimed alternate travel</w:t>
      </w:r>
      <w:r w:rsidRPr="00FE399C">
        <w:rPr>
          <w:rFonts w:ascii="Arial" w:eastAsia="Calibri" w:hAnsi="Arial" w:cs="Arial"/>
        </w:rPr>
        <w:t>. I</w:t>
      </w:r>
      <w:r w:rsidR="00115D74" w:rsidRPr="00FE399C">
        <w:rPr>
          <w:rFonts w:ascii="Arial" w:eastAsia="Calibri" w:hAnsi="Arial" w:cs="Arial"/>
        </w:rPr>
        <w:t>n 2019-20</w:t>
      </w:r>
      <w:r w:rsidRPr="00FE399C">
        <w:rPr>
          <w:rFonts w:ascii="Arial" w:eastAsia="Calibri" w:hAnsi="Arial" w:cs="Arial"/>
        </w:rPr>
        <w:t>,</w:t>
      </w:r>
      <w:r w:rsidR="00115D74" w:rsidRPr="00FE399C">
        <w:rPr>
          <w:rFonts w:ascii="Arial" w:eastAsia="Calibri" w:hAnsi="Arial" w:cs="Arial"/>
        </w:rPr>
        <w:t xml:space="preserve"> claims increased to eight members and in 2020-21, five members claimed alternate travel. The continued use in alternate travel in 2020-21 may be a consequence of </w:t>
      </w:r>
      <w:r w:rsidR="00B73770" w:rsidRPr="00FE399C">
        <w:rPr>
          <w:rFonts w:ascii="Arial" w:eastAsia="Calibri" w:hAnsi="Arial" w:cs="Arial"/>
        </w:rPr>
        <w:t xml:space="preserve">travel </w:t>
      </w:r>
      <w:r w:rsidR="001C35AE">
        <w:rPr>
          <w:rFonts w:ascii="Arial" w:eastAsia="Calibri" w:hAnsi="Arial" w:cs="Arial"/>
        </w:rPr>
        <w:t>choices</w:t>
      </w:r>
      <w:r w:rsidR="00B73770" w:rsidRPr="00FE399C">
        <w:rPr>
          <w:rFonts w:ascii="Arial" w:eastAsia="Calibri" w:hAnsi="Arial" w:cs="Arial"/>
        </w:rPr>
        <w:t xml:space="preserve"> during </w:t>
      </w:r>
      <w:r w:rsidR="00115D74" w:rsidRPr="00FE399C">
        <w:rPr>
          <w:rFonts w:ascii="Arial" w:eastAsia="Calibri" w:hAnsi="Arial" w:cs="Arial"/>
        </w:rPr>
        <w:t>the COVID-19 pandemic</w:t>
      </w:r>
      <w:r w:rsidR="00C03086" w:rsidRPr="00FE399C">
        <w:rPr>
          <w:rFonts w:ascii="Arial" w:eastAsia="Calibri" w:hAnsi="Arial" w:cs="Arial"/>
        </w:rPr>
        <w:t xml:space="preserve">. </w:t>
      </w:r>
    </w:p>
    <w:p w14:paraId="18008F41" w14:textId="3D74B36D" w:rsidR="00785321" w:rsidRPr="00FE399C" w:rsidRDefault="00785321" w:rsidP="008125D1">
      <w:pPr>
        <w:spacing w:before="200" w:after="200" w:line="276" w:lineRule="auto"/>
        <w:jc w:val="both"/>
        <w:rPr>
          <w:rFonts w:ascii="Arial" w:eastAsia="Calibri" w:hAnsi="Arial" w:cs="Arial"/>
        </w:rPr>
      </w:pPr>
      <w:bookmarkStart w:id="8" w:name="_Toc87284477"/>
      <w:bookmarkStart w:id="9" w:name="_Toc87440772"/>
      <w:bookmarkStart w:id="10" w:name="_Toc85549127"/>
      <w:r w:rsidRPr="00FE399C">
        <w:rPr>
          <w:rFonts w:ascii="Arial" w:eastAsia="Calibri" w:hAnsi="Arial" w:cs="Arial"/>
        </w:rPr>
        <w:t xml:space="preserve">Determination 18/2018 provided </w:t>
      </w:r>
      <w:r w:rsidR="00684B98" w:rsidRPr="00FE399C">
        <w:rPr>
          <w:rFonts w:ascii="Arial" w:eastAsia="Calibri" w:hAnsi="Arial" w:cs="Arial"/>
        </w:rPr>
        <w:t>m</w:t>
      </w:r>
      <w:r w:rsidRPr="00FE399C">
        <w:rPr>
          <w:rFonts w:ascii="Arial" w:eastAsia="Calibri" w:hAnsi="Arial" w:cs="Arial"/>
        </w:rPr>
        <w:t xml:space="preserve">embers with the option to convert their air warrant allocation </w:t>
      </w:r>
      <w:r w:rsidR="00AD18C8" w:rsidRPr="00FE399C">
        <w:rPr>
          <w:rFonts w:ascii="Arial" w:eastAsia="Calibri" w:hAnsi="Arial" w:cs="Arial"/>
        </w:rPr>
        <w:t xml:space="preserve">to </w:t>
      </w:r>
      <w:r w:rsidRPr="00FE399C">
        <w:rPr>
          <w:rFonts w:ascii="Arial" w:eastAsia="Calibri" w:hAnsi="Arial" w:cs="Arial"/>
        </w:rPr>
        <w:t xml:space="preserve">a kilometric rate of reimbursement equivalent to that received by public service employees. </w:t>
      </w:r>
    </w:p>
    <w:p w14:paraId="52EC738B" w14:textId="54AF134D" w:rsidR="006A5582" w:rsidRPr="00FE399C" w:rsidRDefault="00785321" w:rsidP="008125D1">
      <w:pPr>
        <w:spacing w:before="200" w:after="200" w:line="276" w:lineRule="auto"/>
        <w:jc w:val="both"/>
        <w:rPr>
          <w:rFonts w:ascii="Arial" w:eastAsia="Calibri" w:hAnsi="Arial" w:cs="Arial"/>
        </w:rPr>
      </w:pPr>
      <w:r w:rsidRPr="00FE399C">
        <w:rPr>
          <w:rFonts w:ascii="Arial" w:eastAsia="Calibri" w:hAnsi="Arial" w:cs="Arial"/>
        </w:rPr>
        <w:t xml:space="preserve">In 2020, the Tribunal made Ruling 2/2020 enabling the Clerk to decide the appropriate rate of kilometric allowance at either 80 cents per kilometre or 37.5 cents per kilometre depending on the circumstances of the travel </w:t>
      </w:r>
      <w:r w:rsidR="00AD18C8" w:rsidRPr="00FE399C">
        <w:rPr>
          <w:rFonts w:ascii="Arial" w:eastAsia="Calibri" w:hAnsi="Arial" w:cs="Arial"/>
        </w:rPr>
        <w:t>(</w:t>
      </w:r>
      <w:r w:rsidRPr="00FE399C">
        <w:rPr>
          <w:rFonts w:ascii="Arial" w:eastAsia="Calibri" w:hAnsi="Arial" w:cs="Arial"/>
        </w:rPr>
        <w:t xml:space="preserve">i.e. whether a </w:t>
      </w:r>
      <w:r w:rsidR="00684B98" w:rsidRPr="00FE399C">
        <w:rPr>
          <w:rFonts w:ascii="Arial" w:eastAsia="Calibri" w:hAnsi="Arial" w:cs="Arial"/>
        </w:rPr>
        <w:t>m</w:t>
      </w:r>
      <w:r w:rsidRPr="00FE399C">
        <w:rPr>
          <w:rFonts w:ascii="Arial" w:eastAsia="Calibri" w:hAnsi="Arial" w:cs="Arial"/>
        </w:rPr>
        <w:t xml:space="preserve">ember </w:t>
      </w:r>
      <w:proofErr w:type="gramStart"/>
      <w:r w:rsidRPr="00FE399C">
        <w:rPr>
          <w:rFonts w:ascii="Arial" w:eastAsia="Calibri" w:hAnsi="Arial" w:cs="Arial"/>
        </w:rPr>
        <w:t>is ‘required’</w:t>
      </w:r>
      <w:proofErr w:type="gramEnd"/>
      <w:r w:rsidRPr="00FE399C">
        <w:rPr>
          <w:rFonts w:ascii="Arial" w:eastAsia="Calibri" w:hAnsi="Arial" w:cs="Arial"/>
        </w:rPr>
        <w:t xml:space="preserve"> to use their vehicle</w:t>
      </w:r>
      <w:r w:rsidR="00AD18C8" w:rsidRPr="00FE399C">
        <w:rPr>
          <w:rFonts w:ascii="Arial" w:eastAsia="Calibri" w:hAnsi="Arial" w:cs="Arial"/>
        </w:rPr>
        <w:t>)</w:t>
      </w:r>
      <w:r w:rsidRPr="00FE399C">
        <w:rPr>
          <w:rFonts w:ascii="Arial" w:eastAsia="Calibri" w:hAnsi="Arial" w:cs="Arial"/>
        </w:rPr>
        <w:t>.</w:t>
      </w:r>
      <w:r w:rsidR="00115D74" w:rsidRPr="00FE399C">
        <w:rPr>
          <w:rFonts w:ascii="Arial" w:eastAsia="Calibri" w:hAnsi="Arial" w:cs="Arial"/>
        </w:rPr>
        <w:t xml:space="preserve"> It is likely that </w:t>
      </w:r>
      <w:r w:rsidR="00B41922">
        <w:rPr>
          <w:rFonts w:ascii="Arial" w:eastAsia="Calibri" w:hAnsi="Arial" w:cs="Arial"/>
        </w:rPr>
        <w:t>due to</w:t>
      </w:r>
      <w:r w:rsidR="00115D74" w:rsidRPr="00FE399C">
        <w:rPr>
          <w:rFonts w:ascii="Arial" w:eastAsia="Calibri" w:hAnsi="Arial" w:cs="Arial"/>
        </w:rPr>
        <w:t xml:space="preserve"> the COVID-19 pandemic </w:t>
      </w:r>
      <w:proofErr w:type="gramStart"/>
      <w:r w:rsidR="00115D74" w:rsidRPr="00FE399C">
        <w:rPr>
          <w:rFonts w:ascii="Arial" w:eastAsia="Calibri" w:hAnsi="Arial" w:cs="Arial"/>
        </w:rPr>
        <w:t>some</w:t>
      </w:r>
      <w:proofErr w:type="gramEnd"/>
      <w:r w:rsidR="00115D74" w:rsidRPr="00FE399C">
        <w:rPr>
          <w:rFonts w:ascii="Arial" w:eastAsia="Calibri" w:hAnsi="Arial" w:cs="Arial"/>
        </w:rPr>
        <w:t xml:space="preserve"> </w:t>
      </w:r>
      <w:r w:rsidR="00CF2886" w:rsidRPr="00FE399C">
        <w:rPr>
          <w:rFonts w:ascii="Arial" w:eastAsia="Calibri" w:hAnsi="Arial" w:cs="Arial"/>
        </w:rPr>
        <w:t>members</w:t>
      </w:r>
      <w:r w:rsidR="00115D74" w:rsidRPr="00FE399C">
        <w:rPr>
          <w:rFonts w:ascii="Arial" w:eastAsia="Calibri" w:hAnsi="Arial" w:cs="Arial"/>
        </w:rPr>
        <w:t xml:space="preserve"> were required to use their vehicle and able to claim the 80 cents per kilometre rate</w:t>
      </w:r>
      <w:r w:rsidR="00AD18C8" w:rsidRPr="00FE399C">
        <w:rPr>
          <w:rFonts w:ascii="Arial" w:eastAsia="Calibri" w:hAnsi="Arial" w:cs="Arial"/>
        </w:rPr>
        <w:t>,</w:t>
      </w:r>
      <w:r w:rsidR="00115D74" w:rsidRPr="00FE399C">
        <w:rPr>
          <w:rFonts w:ascii="Arial" w:eastAsia="Calibri" w:hAnsi="Arial" w:cs="Arial"/>
        </w:rPr>
        <w:t xml:space="preserve"> </w:t>
      </w:r>
      <w:r w:rsidR="00AD18C8" w:rsidRPr="00FE399C">
        <w:rPr>
          <w:rFonts w:ascii="Arial" w:eastAsia="Calibri" w:hAnsi="Arial" w:cs="Arial"/>
        </w:rPr>
        <w:t>leading to</w:t>
      </w:r>
      <w:r w:rsidR="00115D74" w:rsidRPr="00FE399C">
        <w:rPr>
          <w:rFonts w:ascii="Arial" w:eastAsia="Calibri" w:hAnsi="Arial" w:cs="Arial"/>
        </w:rPr>
        <w:t xml:space="preserve"> a higher overall </w:t>
      </w:r>
      <w:r w:rsidR="00AD18C8" w:rsidRPr="00FE399C">
        <w:rPr>
          <w:rFonts w:ascii="Arial" w:eastAsia="Calibri" w:hAnsi="Arial" w:cs="Arial"/>
        </w:rPr>
        <w:t>expenditure</w:t>
      </w:r>
      <w:r w:rsidR="00115D74" w:rsidRPr="00FE399C">
        <w:rPr>
          <w:rFonts w:ascii="Arial" w:eastAsia="Calibri" w:hAnsi="Arial" w:cs="Arial"/>
        </w:rPr>
        <w:t xml:space="preserve"> of </w:t>
      </w:r>
      <w:r w:rsidR="00AD18C8" w:rsidRPr="00FE399C">
        <w:rPr>
          <w:rFonts w:ascii="Arial" w:eastAsia="Calibri" w:hAnsi="Arial" w:cs="Arial"/>
        </w:rPr>
        <w:t>a</w:t>
      </w:r>
      <w:r w:rsidR="00115D74" w:rsidRPr="00FE399C">
        <w:rPr>
          <w:rFonts w:ascii="Arial" w:eastAsia="Calibri" w:hAnsi="Arial" w:cs="Arial"/>
        </w:rPr>
        <w:t xml:space="preserve">lternate </w:t>
      </w:r>
      <w:r w:rsidR="00AD18C8" w:rsidRPr="00FE399C">
        <w:rPr>
          <w:rFonts w:ascii="Arial" w:eastAsia="Calibri" w:hAnsi="Arial" w:cs="Arial"/>
        </w:rPr>
        <w:t>t</w:t>
      </w:r>
      <w:r w:rsidR="00115D74" w:rsidRPr="00FE399C">
        <w:rPr>
          <w:rFonts w:ascii="Arial" w:eastAsia="Calibri" w:hAnsi="Arial" w:cs="Arial"/>
        </w:rPr>
        <w:t>ravel.</w:t>
      </w:r>
    </w:p>
    <w:p w14:paraId="49A8E73B" w14:textId="77777777" w:rsidR="00785321" w:rsidRPr="00946396" w:rsidRDefault="00785321" w:rsidP="00946396">
      <w:pPr>
        <w:keepNext/>
        <w:keepLines/>
        <w:spacing w:after="160" w:line="256" w:lineRule="auto"/>
        <w:rPr>
          <w:rFonts w:ascii="Arial" w:hAnsi="Arial" w:cs="Arial"/>
          <w:i/>
          <w:iCs/>
          <w:color w:val="4F81BD"/>
          <w:spacing w:val="15"/>
        </w:rPr>
      </w:pPr>
      <w:bookmarkStart w:id="11" w:name="_Toc89443989"/>
      <w:bookmarkEnd w:id="8"/>
      <w:bookmarkEnd w:id="9"/>
      <w:bookmarkEnd w:id="10"/>
      <w:r w:rsidRPr="00946396">
        <w:rPr>
          <w:rFonts w:ascii="Arial" w:hAnsi="Arial" w:cs="Arial"/>
          <w:i/>
          <w:iCs/>
          <w:color w:val="4F81BD"/>
          <w:spacing w:val="15"/>
        </w:rPr>
        <w:t>Travel for opposition spokespersons and leaders of minor parties</w:t>
      </w:r>
      <w:bookmarkEnd w:id="11"/>
      <w:r w:rsidRPr="00946396">
        <w:rPr>
          <w:rFonts w:ascii="Arial" w:hAnsi="Arial" w:cs="Arial"/>
          <w:i/>
          <w:iCs/>
          <w:color w:val="4F81BD"/>
          <w:spacing w:val="15"/>
        </w:rPr>
        <w:t xml:space="preserve"> </w:t>
      </w:r>
    </w:p>
    <w:p w14:paraId="3F18CC87" w14:textId="77777777" w:rsidR="00711EBB" w:rsidRDefault="00711EBB" w:rsidP="00711EBB">
      <w:pPr>
        <w:spacing w:before="200" w:after="200" w:line="276" w:lineRule="auto"/>
        <w:jc w:val="both"/>
        <w:rPr>
          <w:rFonts w:ascii="Arial" w:eastAsia="Calibri" w:hAnsi="Arial" w:cs="Arial"/>
          <w:bCs/>
        </w:rPr>
      </w:pPr>
      <w:r w:rsidRPr="00FE399C">
        <w:rPr>
          <w:rFonts w:ascii="Arial" w:eastAsia="Calibri" w:hAnsi="Arial" w:cs="Arial"/>
          <w:bCs/>
        </w:rPr>
        <w:t>GTA expenditure data for Opposition Spokespersons in the 2020-21 finan</w:t>
      </w:r>
      <w:r>
        <w:rPr>
          <w:rFonts w:ascii="Arial" w:hAnsi="Arial" w:cs="Arial"/>
          <w:lang w:val="en-US"/>
        </w:rPr>
        <w:t xml:space="preserve">cial year </w:t>
      </w:r>
      <w:proofErr w:type="gramStart"/>
      <w:r>
        <w:rPr>
          <w:rFonts w:ascii="Arial" w:hAnsi="Arial" w:cs="Arial"/>
          <w:lang w:val="en-US"/>
        </w:rPr>
        <w:t>was reviewed</w:t>
      </w:r>
      <w:proofErr w:type="gramEnd"/>
      <w:r>
        <w:rPr>
          <w:rFonts w:ascii="Arial" w:hAnsi="Arial" w:cs="Arial"/>
          <w:lang w:val="en-US"/>
        </w:rPr>
        <w:t xml:space="preserve"> by the Tribunal. It was noted that of the 18</w:t>
      </w:r>
      <w:r w:rsidRPr="00025E6C">
        <w:rPr>
          <w:rFonts w:ascii="Arial" w:hAnsi="Arial" w:cs="Arial"/>
          <w:lang w:val="en-US"/>
        </w:rPr>
        <w:t xml:space="preserve"> Opposition Spokespersons, 17 were within their GTA. Four members claimed </w:t>
      </w:r>
      <w:r w:rsidRPr="00B728B4">
        <w:rPr>
          <w:rFonts w:ascii="Arial" w:eastAsia="Calibri" w:hAnsi="Arial" w:cs="Arial"/>
          <w:bCs/>
        </w:rPr>
        <w:t xml:space="preserve">between 80% and 100% of their GTA and 13 members expended under 80% of their GTA.  One member expended 11% over their GTA allocation. </w:t>
      </w:r>
    </w:p>
    <w:p w14:paraId="0C137358" w14:textId="1D8F36D8" w:rsidR="00785321" w:rsidRDefault="00BA0FAD" w:rsidP="00961637">
      <w:pPr>
        <w:spacing w:before="200" w:after="200" w:line="276" w:lineRule="auto"/>
        <w:jc w:val="both"/>
        <w:rPr>
          <w:rFonts w:ascii="Arial" w:eastAsia="Calibri" w:hAnsi="Arial" w:cs="Arial"/>
        </w:rPr>
      </w:pPr>
      <w:r w:rsidRPr="00025E6C">
        <w:rPr>
          <w:rFonts w:ascii="Arial" w:eastAsia="Calibri" w:hAnsi="Arial" w:cs="Arial"/>
          <w:bCs/>
        </w:rPr>
        <w:t xml:space="preserve">As noted in Determination </w:t>
      </w:r>
      <w:r w:rsidR="00D33B9C" w:rsidRPr="00025E6C">
        <w:rPr>
          <w:rFonts w:ascii="Arial" w:eastAsia="Calibri" w:hAnsi="Arial" w:cs="Arial"/>
          <w:bCs/>
        </w:rPr>
        <w:t xml:space="preserve">21/2020, the Tribunal received submissions </w:t>
      </w:r>
      <w:r w:rsidR="00F56D93" w:rsidRPr="00025E6C">
        <w:rPr>
          <w:rFonts w:ascii="Arial" w:eastAsia="Calibri" w:hAnsi="Arial" w:cs="Arial"/>
          <w:bCs/>
        </w:rPr>
        <w:t xml:space="preserve">regarding the provision of an additional allowance for </w:t>
      </w:r>
      <w:r w:rsidR="00D33B9C" w:rsidRPr="00025E6C">
        <w:rPr>
          <w:rFonts w:ascii="Arial" w:eastAsia="Calibri" w:hAnsi="Arial" w:cs="Arial"/>
          <w:bCs/>
        </w:rPr>
        <w:t>travel for Opposition Spokespersons</w:t>
      </w:r>
      <w:r w:rsidR="00C03086" w:rsidRPr="00025E6C">
        <w:rPr>
          <w:rFonts w:ascii="Arial" w:eastAsia="Calibri" w:hAnsi="Arial" w:cs="Arial"/>
          <w:bCs/>
        </w:rPr>
        <w:t xml:space="preserve">. </w:t>
      </w:r>
      <w:r w:rsidR="00785321" w:rsidRPr="00025E6C">
        <w:rPr>
          <w:rFonts w:ascii="Arial" w:eastAsia="Calibri" w:hAnsi="Arial" w:cs="Arial"/>
          <w:bCs/>
        </w:rPr>
        <w:t>In Determination</w:t>
      </w:r>
      <w:r w:rsidR="00785321">
        <w:rPr>
          <w:rFonts w:ascii="Arial" w:eastAsia="Calibri" w:hAnsi="Arial" w:cs="Arial"/>
        </w:rPr>
        <w:t xml:space="preserve"> 21/2020, the Tribunal resolved to: </w:t>
      </w:r>
    </w:p>
    <w:p w14:paraId="613CBF6C" w14:textId="77777777" w:rsidR="00785321" w:rsidRDefault="00785321" w:rsidP="003C0701">
      <w:pPr>
        <w:autoSpaceDE w:val="0"/>
        <w:autoSpaceDN w:val="0"/>
        <w:adjustRightInd w:val="0"/>
        <w:spacing w:before="120" w:after="200"/>
        <w:ind w:left="426"/>
        <w:jc w:val="both"/>
        <w:rPr>
          <w:rFonts w:ascii="Arial" w:hAnsi="Arial" w:cs="Arial"/>
          <w:i/>
          <w:iCs/>
          <w:lang w:val="en-US"/>
        </w:rPr>
      </w:pPr>
      <w:r>
        <w:rPr>
          <w:rFonts w:ascii="Arial" w:hAnsi="Arial" w:cs="Arial"/>
          <w:i/>
          <w:iCs/>
          <w:lang w:val="en-US"/>
        </w:rPr>
        <w:t>“…t</w:t>
      </w:r>
      <w:r w:rsidRPr="006F344D">
        <w:rPr>
          <w:rFonts w:ascii="Arial" w:hAnsi="Arial" w:cs="Arial"/>
          <w:i/>
          <w:iCs/>
          <w:lang w:val="en-US"/>
        </w:rPr>
        <w:t>o write to the Premier recommending amendment to the Opposition Handbook to enable Opposition Spokespersons to claim travel expenses from the budget for the Office of the Leader of the Opposition and an appropriate increase to the opposition budget to facilitate this additional cost. The Tribunal will revisit the matter of travel for Opposition Spokespersons following a response from the Premier.</w:t>
      </w:r>
    </w:p>
    <w:p w14:paraId="68602120" w14:textId="7B6CD375" w:rsidR="00711EBB" w:rsidRDefault="00711EBB" w:rsidP="00711EBB">
      <w:pPr>
        <w:spacing w:before="200" w:after="200" w:line="276" w:lineRule="auto"/>
        <w:jc w:val="both"/>
        <w:rPr>
          <w:rFonts w:ascii="Arial" w:eastAsia="Calibri" w:hAnsi="Arial" w:cs="Arial"/>
          <w:bCs/>
        </w:rPr>
      </w:pPr>
      <w:r w:rsidRPr="00025E6C">
        <w:rPr>
          <w:rFonts w:ascii="Arial" w:eastAsia="Calibri" w:hAnsi="Arial" w:cs="Arial"/>
          <w:bCs/>
        </w:rPr>
        <w:t xml:space="preserve">The Tribunal agreed to consider the matter further once a </w:t>
      </w:r>
      <w:r>
        <w:rPr>
          <w:rFonts w:ascii="Arial" w:eastAsia="Calibri" w:hAnsi="Arial" w:cs="Arial"/>
          <w:bCs/>
        </w:rPr>
        <w:t>position</w:t>
      </w:r>
      <w:r w:rsidRPr="00025E6C">
        <w:rPr>
          <w:rFonts w:ascii="Arial" w:eastAsia="Calibri" w:hAnsi="Arial" w:cs="Arial"/>
          <w:bCs/>
        </w:rPr>
        <w:t xml:space="preserve"> has </w:t>
      </w:r>
      <w:proofErr w:type="gramStart"/>
      <w:r w:rsidRPr="00025E6C">
        <w:rPr>
          <w:rFonts w:ascii="Arial" w:eastAsia="Calibri" w:hAnsi="Arial" w:cs="Arial"/>
          <w:bCs/>
        </w:rPr>
        <w:t>been received</w:t>
      </w:r>
      <w:proofErr w:type="gramEnd"/>
      <w:r w:rsidRPr="00025E6C">
        <w:rPr>
          <w:rFonts w:ascii="Arial" w:eastAsia="Calibri" w:hAnsi="Arial" w:cs="Arial"/>
          <w:bCs/>
        </w:rPr>
        <w:t xml:space="preserve"> from the Premier and Minister</w:t>
      </w:r>
      <w:r w:rsidRPr="00FE399C">
        <w:rPr>
          <w:rFonts w:ascii="Arial" w:eastAsia="Calibri" w:hAnsi="Arial" w:cs="Arial"/>
          <w:bCs/>
        </w:rPr>
        <w:t xml:space="preserve"> for the Olympics. </w:t>
      </w:r>
    </w:p>
    <w:p w14:paraId="0CACA6DA" w14:textId="5E4C1E74" w:rsidR="009B739D" w:rsidRPr="00D63674" w:rsidRDefault="009B739D" w:rsidP="00D63674">
      <w:pPr>
        <w:pStyle w:val="Heading1"/>
        <w:spacing w:after="240"/>
        <w:rPr>
          <w:rFonts w:ascii="Arial" w:hAnsi="Arial" w:cs="Arial"/>
        </w:rPr>
      </w:pPr>
      <w:bookmarkStart w:id="12" w:name="_Toc89343628"/>
      <w:r w:rsidRPr="00D63674">
        <w:rPr>
          <w:rFonts w:ascii="Arial" w:hAnsi="Arial" w:cs="Arial"/>
        </w:rPr>
        <w:t>Transition Allowance</w:t>
      </w:r>
      <w:bookmarkEnd w:id="12"/>
    </w:p>
    <w:p w14:paraId="5689A5ED" w14:textId="27739E38" w:rsidR="009B739D" w:rsidRDefault="001F7709" w:rsidP="00B728B4">
      <w:pPr>
        <w:spacing w:before="200" w:after="200" w:line="276" w:lineRule="auto"/>
        <w:jc w:val="both"/>
        <w:rPr>
          <w:rFonts w:ascii="Arial" w:hAnsi="Arial" w:cs="Arial"/>
        </w:rPr>
      </w:pPr>
      <w:r>
        <w:rPr>
          <w:rFonts w:ascii="Arial" w:hAnsi="Arial" w:cs="Arial"/>
        </w:rPr>
        <w:t>T</w:t>
      </w:r>
      <w:r w:rsidR="00D625DD">
        <w:rPr>
          <w:rFonts w:ascii="Arial" w:hAnsi="Arial" w:cs="Arial"/>
        </w:rPr>
        <w:t>he</w:t>
      </w:r>
      <w:r w:rsidR="009B739D" w:rsidRPr="00856BDB">
        <w:rPr>
          <w:rFonts w:ascii="Arial" w:hAnsi="Arial" w:cs="Arial"/>
        </w:rPr>
        <w:t xml:space="preserve"> Transition Allowance </w:t>
      </w:r>
      <w:r w:rsidR="0048782F">
        <w:rPr>
          <w:rFonts w:ascii="Arial" w:hAnsi="Arial" w:cs="Arial"/>
        </w:rPr>
        <w:t xml:space="preserve">for Members of Parliament </w:t>
      </w:r>
      <w:r w:rsidR="009B739D" w:rsidRPr="00856BDB">
        <w:rPr>
          <w:rFonts w:ascii="Arial" w:hAnsi="Arial" w:cs="Arial"/>
        </w:rPr>
        <w:t xml:space="preserve">was considered and set in </w:t>
      </w:r>
      <w:hyperlink r:id="rId18" w:history="1">
        <w:r w:rsidR="009B739D" w:rsidRPr="00B951CF">
          <w:rPr>
            <w:rFonts w:ascii="Arial" w:hAnsi="Arial" w:cs="Arial"/>
          </w:rPr>
          <w:t>Determination 5/2014</w:t>
        </w:r>
      </w:hyperlink>
      <w:r w:rsidR="009B739D" w:rsidRPr="00856BDB">
        <w:rPr>
          <w:rFonts w:ascii="Arial" w:hAnsi="Arial" w:cs="Arial"/>
        </w:rPr>
        <w:t xml:space="preserve">. </w:t>
      </w:r>
      <w:r w:rsidR="009B739D">
        <w:rPr>
          <w:rFonts w:ascii="Arial" w:hAnsi="Arial" w:cs="Arial"/>
        </w:rPr>
        <w:t xml:space="preserve">The basis of the transition allowance is to assist members to transition from Parliament to the community and the general workforce. </w:t>
      </w:r>
    </w:p>
    <w:p w14:paraId="79AF5FCB" w14:textId="77777777" w:rsidR="009B739D" w:rsidRDefault="009B739D" w:rsidP="00B728B4">
      <w:pPr>
        <w:spacing w:before="200" w:after="120" w:line="276" w:lineRule="auto"/>
        <w:jc w:val="both"/>
        <w:rPr>
          <w:rFonts w:ascii="Arial" w:hAnsi="Arial" w:cs="Arial"/>
        </w:rPr>
      </w:pPr>
      <w:proofErr w:type="gramStart"/>
      <w:r>
        <w:rPr>
          <w:rFonts w:ascii="Arial" w:hAnsi="Arial" w:cs="Arial"/>
        </w:rPr>
        <w:t>Some</w:t>
      </w:r>
      <w:proofErr w:type="gramEnd"/>
      <w:r w:rsidRPr="005101B0">
        <w:rPr>
          <w:rFonts w:ascii="Arial" w:hAnsi="Arial" w:cs="Arial"/>
        </w:rPr>
        <w:t xml:space="preserve"> key themes </w:t>
      </w:r>
      <w:r>
        <w:rPr>
          <w:rFonts w:ascii="Arial" w:hAnsi="Arial" w:cs="Arial"/>
        </w:rPr>
        <w:t>that</w:t>
      </w:r>
      <w:r w:rsidRPr="005101B0">
        <w:rPr>
          <w:rFonts w:ascii="Arial" w:hAnsi="Arial" w:cs="Arial"/>
        </w:rPr>
        <w:t xml:space="preserve"> justifi</w:t>
      </w:r>
      <w:r>
        <w:rPr>
          <w:rFonts w:ascii="Arial" w:hAnsi="Arial" w:cs="Arial"/>
        </w:rPr>
        <w:t xml:space="preserve">ed the </w:t>
      </w:r>
      <w:r w:rsidRPr="005101B0">
        <w:rPr>
          <w:rFonts w:ascii="Arial" w:hAnsi="Arial" w:cs="Arial"/>
        </w:rPr>
        <w:t xml:space="preserve">payment of </w:t>
      </w:r>
      <w:r>
        <w:rPr>
          <w:rFonts w:ascii="Arial" w:hAnsi="Arial" w:cs="Arial"/>
        </w:rPr>
        <w:t>the</w:t>
      </w:r>
      <w:r w:rsidRPr="005101B0">
        <w:rPr>
          <w:rFonts w:ascii="Arial" w:hAnsi="Arial" w:cs="Arial"/>
        </w:rPr>
        <w:t xml:space="preserve"> allowance</w:t>
      </w:r>
      <w:r>
        <w:rPr>
          <w:rFonts w:ascii="Arial" w:hAnsi="Arial" w:cs="Arial"/>
        </w:rPr>
        <w:t xml:space="preserve"> included: </w:t>
      </w:r>
    </w:p>
    <w:p w14:paraId="57FAE1C3" w14:textId="47CB878A" w:rsidR="009B739D" w:rsidRPr="00992A6C" w:rsidRDefault="009B739D" w:rsidP="00B728B4">
      <w:pPr>
        <w:pStyle w:val="ListParagraph"/>
        <w:numPr>
          <w:ilvl w:val="0"/>
          <w:numId w:val="46"/>
        </w:numPr>
        <w:spacing w:before="120" w:after="120" w:line="276" w:lineRule="auto"/>
        <w:ind w:left="714" w:hanging="357"/>
        <w:contextualSpacing w:val="0"/>
        <w:jc w:val="both"/>
        <w:rPr>
          <w:rFonts w:ascii="Arial" w:hAnsi="Arial" w:cs="Arial"/>
        </w:rPr>
      </w:pPr>
      <w:r w:rsidRPr="00992A6C">
        <w:rPr>
          <w:rFonts w:ascii="Arial" w:hAnsi="Arial" w:cs="Arial"/>
        </w:rPr>
        <w:t xml:space="preserve">the majority of Members of Parliament are not eligible to access a pension or superannuation benefit (related to their service in the Parliament) immediately upon ceasing to be a </w:t>
      </w:r>
      <w:r w:rsidR="001C27B3">
        <w:rPr>
          <w:rFonts w:ascii="Arial" w:hAnsi="Arial" w:cs="Arial"/>
        </w:rPr>
        <w:t>m</w:t>
      </w:r>
      <w:r w:rsidRPr="00992A6C">
        <w:rPr>
          <w:rFonts w:ascii="Arial" w:hAnsi="Arial" w:cs="Arial"/>
        </w:rPr>
        <w:t xml:space="preserve">ember; </w:t>
      </w:r>
    </w:p>
    <w:p w14:paraId="4EB3C8C9" w14:textId="2BB807FB" w:rsidR="009B739D" w:rsidRPr="00992A6C" w:rsidRDefault="00D3147E" w:rsidP="00B728B4">
      <w:pPr>
        <w:pStyle w:val="ListParagraph"/>
        <w:numPr>
          <w:ilvl w:val="0"/>
          <w:numId w:val="46"/>
        </w:numPr>
        <w:spacing w:before="120" w:after="120" w:line="276" w:lineRule="auto"/>
        <w:ind w:left="714" w:hanging="357"/>
        <w:contextualSpacing w:val="0"/>
        <w:jc w:val="both"/>
        <w:rPr>
          <w:rFonts w:ascii="Arial" w:hAnsi="Arial" w:cs="Arial"/>
        </w:rPr>
      </w:pPr>
      <w:r>
        <w:rPr>
          <w:rFonts w:ascii="Arial" w:hAnsi="Arial" w:cs="Arial"/>
        </w:rPr>
        <w:t xml:space="preserve">a </w:t>
      </w:r>
      <w:r w:rsidR="001C27B3">
        <w:rPr>
          <w:rFonts w:ascii="Arial" w:hAnsi="Arial" w:cs="Arial"/>
        </w:rPr>
        <w:t>m</w:t>
      </w:r>
      <w:r w:rsidR="00107500">
        <w:rPr>
          <w:rFonts w:ascii="Arial" w:hAnsi="Arial" w:cs="Arial"/>
        </w:rPr>
        <w:t>ember</w:t>
      </w:r>
      <w:r w:rsidR="009B739D" w:rsidRPr="00992A6C">
        <w:rPr>
          <w:rFonts w:ascii="Arial" w:hAnsi="Arial" w:cs="Arial"/>
        </w:rPr>
        <w:t xml:space="preserve"> does not receive leave entitlements or the cash equivalent </w:t>
      </w:r>
    </w:p>
    <w:p w14:paraId="622AA3C7" w14:textId="77777777" w:rsidR="009B739D" w:rsidRPr="00992A6C" w:rsidRDefault="009B739D" w:rsidP="00B728B4">
      <w:pPr>
        <w:pStyle w:val="ListParagraph"/>
        <w:numPr>
          <w:ilvl w:val="0"/>
          <w:numId w:val="46"/>
        </w:numPr>
        <w:spacing w:before="120" w:after="120" w:line="276" w:lineRule="auto"/>
        <w:ind w:left="714" w:hanging="357"/>
        <w:contextualSpacing w:val="0"/>
        <w:jc w:val="both"/>
        <w:rPr>
          <w:rFonts w:ascii="Arial" w:hAnsi="Arial" w:cs="Arial"/>
        </w:rPr>
      </w:pPr>
      <w:r w:rsidRPr="00992A6C">
        <w:rPr>
          <w:rFonts w:ascii="Arial" w:hAnsi="Arial" w:cs="Arial"/>
        </w:rPr>
        <w:t xml:space="preserve">there may be difficulties in transitioning from public life to private life </w:t>
      </w:r>
    </w:p>
    <w:p w14:paraId="18DA048D" w14:textId="77777777" w:rsidR="009B739D" w:rsidRPr="00992A6C" w:rsidRDefault="009B739D" w:rsidP="00B728B4">
      <w:pPr>
        <w:pStyle w:val="ListParagraph"/>
        <w:numPr>
          <w:ilvl w:val="0"/>
          <w:numId w:val="46"/>
        </w:numPr>
        <w:spacing w:before="120" w:after="120" w:line="276" w:lineRule="auto"/>
        <w:ind w:left="714" w:hanging="357"/>
        <w:contextualSpacing w:val="0"/>
        <w:jc w:val="both"/>
        <w:rPr>
          <w:rFonts w:ascii="Arial" w:hAnsi="Arial" w:cs="Arial"/>
        </w:rPr>
      </w:pPr>
      <w:r w:rsidRPr="00992A6C">
        <w:rPr>
          <w:rFonts w:ascii="Arial" w:hAnsi="Arial" w:cs="Arial"/>
        </w:rPr>
        <w:lastRenderedPageBreak/>
        <w:t xml:space="preserve">a redundancy/severance payment is </w:t>
      </w:r>
      <w:proofErr w:type="gramStart"/>
      <w:r w:rsidRPr="00992A6C">
        <w:rPr>
          <w:rFonts w:ascii="Arial" w:hAnsi="Arial" w:cs="Arial"/>
        </w:rPr>
        <w:t>generally provided</w:t>
      </w:r>
      <w:proofErr w:type="gramEnd"/>
      <w:r w:rsidRPr="00992A6C">
        <w:rPr>
          <w:rFonts w:ascii="Arial" w:hAnsi="Arial" w:cs="Arial"/>
        </w:rPr>
        <w:t xml:space="preserve"> to employees in the general workforce when their 'employment' is involuntarily terminated, and </w:t>
      </w:r>
    </w:p>
    <w:p w14:paraId="7EED6757" w14:textId="77777777" w:rsidR="009B739D" w:rsidRPr="00992A6C" w:rsidRDefault="009B739D" w:rsidP="00946396">
      <w:pPr>
        <w:pStyle w:val="ListParagraph"/>
        <w:numPr>
          <w:ilvl w:val="0"/>
          <w:numId w:val="46"/>
        </w:numPr>
        <w:spacing w:after="200" w:line="276" w:lineRule="auto"/>
        <w:jc w:val="both"/>
        <w:rPr>
          <w:rFonts w:ascii="Arial" w:hAnsi="Arial" w:cs="Arial"/>
        </w:rPr>
      </w:pPr>
      <w:r w:rsidRPr="00992A6C">
        <w:rPr>
          <w:rFonts w:ascii="Arial" w:hAnsi="Arial" w:cs="Arial"/>
        </w:rPr>
        <w:t xml:space="preserve">most jurisdictions provide a similar allowance. </w:t>
      </w:r>
    </w:p>
    <w:p w14:paraId="74A277CD" w14:textId="13074004" w:rsidR="009B739D" w:rsidRPr="00856BDB" w:rsidRDefault="00143A8C" w:rsidP="00B728B4">
      <w:pPr>
        <w:spacing w:before="200" w:after="120" w:line="276" w:lineRule="auto"/>
        <w:jc w:val="both"/>
        <w:rPr>
          <w:rFonts w:ascii="Arial" w:hAnsi="Arial" w:cs="Arial"/>
        </w:rPr>
      </w:pPr>
      <w:r>
        <w:rPr>
          <w:rFonts w:ascii="Arial" w:hAnsi="Arial" w:cs="Arial"/>
        </w:rPr>
        <w:t>In making Determination 5/2014</w:t>
      </w:r>
      <w:r w:rsidR="003E43CD">
        <w:rPr>
          <w:rFonts w:ascii="Arial" w:hAnsi="Arial" w:cs="Arial"/>
        </w:rPr>
        <w:t xml:space="preserve"> the Tribunal</w:t>
      </w:r>
      <w:r w:rsidR="009B739D" w:rsidRPr="00856BDB">
        <w:rPr>
          <w:rFonts w:ascii="Arial" w:hAnsi="Arial" w:cs="Arial"/>
        </w:rPr>
        <w:t xml:space="preserve"> noted the following: </w:t>
      </w:r>
    </w:p>
    <w:p w14:paraId="17DAF5C7" w14:textId="75193DA6" w:rsidR="009B739D" w:rsidRPr="00992A6C" w:rsidRDefault="009B739D" w:rsidP="00B728B4">
      <w:pPr>
        <w:pStyle w:val="ListParagraph"/>
        <w:numPr>
          <w:ilvl w:val="0"/>
          <w:numId w:val="47"/>
        </w:numPr>
        <w:spacing w:after="120" w:line="276" w:lineRule="auto"/>
        <w:ind w:left="714" w:hanging="357"/>
        <w:contextualSpacing w:val="0"/>
        <w:jc w:val="both"/>
        <w:rPr>
          <w:rFonts w:ascii="Arial" w:hAnsi="Arial" w:cs="Arial"/>
        </w:rPr>
      </w:pPr>
      <w:r w:rsidRPr="00992A6C">
        <w:rPr>
          <w:rFonts w:ascii="Arial" w:hAnsi="Arial" w:cs="Arial"/>
        </w:rPr>
        <w:t xml:space="preserve">Ordinarily for an employee to receive a termination payment they </w:t>
      </w:r>
      <w:proofErr w:type="gramStart"/>
      <w:r w:rsidRPr="00992A6C">
        <w:rPr>
          <w:rFonts w:ascii="Arial" w:hAnsi="Arial" w:cs="Arial"/>
        </w:rPr>
        <w:t>are required</w:t>
      </w:r>
      <w:proofErr w:type="gramEnd"/>
      <w:r w:rsidRPr="00992A6C">
        <w:rPr>
          <w:rFonts w:ascii="Arial" w:hAnsi="Arial" w:cs="Arial"/>
        </w:rPr>
        <w:t xml:space="preserve"> to leave their position involuntarily. Where an employee leaves voluntarily they do not receive a termination payment. The Tribunal noted that ‘a redundancy/severance payment is generally provided to employees, when their ‘employment’ is involuntarily terminated</w:t>
      </w:r>
      <w:proofErr w:type="gramStart"/>
      <w:r w:rsidRPr="00992A6C">
        <w:rPr>
          <w:rFonts w:ascii="Arial" w:hAnsi="Arial" w:cs="Arial"/>
        </w:rPr>
        <w:t>’</w:t>
      </w:r>
      <w:r w:rsidR="00D12D9E">
        <w:rPr>
          <w:rFonts w:ascii="Arial" w:hAnsi="Arial" w:cs="Arial"/>
        </w:rPr>
        <w:t>.</w:t>
      </w:r>
      <w:proofErr w:type="gramEnd"/>
    </w:p>
    <w:p w14:paraId="461381F9" w14:textId="70CF7715" w:rsidR="009B739D" w:rsidRPr="00992A6C" w:rsidRDefault="009B739D" w:rsidP="00B728B4">
      <w:pPr>
        <w:pStyle w:val="ListParagraph"/>
        <w:numPr>
          <w:ilvl w:val="0"/>
          <w:numId w:val="47"/>
        </w:numPr>
        <w:spacing w:after="120" w:line="276" w:lineRule="auto"/>
        <w:ind w:left="714" w:hanging="357"/>
        <w:contextualSpacing w:val="0"/>
        <w:jc w:val="both"/>
        <w:rPr>
          <w:rFonts w:ascii="Arial" w:hAnsi="Arial" w:cs="Arial"/>
        </w:rPr>
      </w:pPr>
      <w:r w:rsidRPr="00992A6C">
        <w:rPr>
          <w:rFonts w:ascii="Arial" w:hAnsi="Arial" w:cs="Arial"/>
        </w:rPr>
        <w:t>A</w:t>
      </w:r>
      <w:r w:rsidR="001C27B3">
        <w:rPr>
          <w:rFonts w:ascii="Arial" w:hAnsi="Arial" w:cs="Arial"/>
        </w:rPr>
        <w:t xml:space="preserve"> m</w:t>
      </w:r>
      <w:r w:rsidRPr="00992A6C">
        <w:rPr>
          <w:rFonts w:ascii="Arial" w:hAnsi="Arial" w:cs="Arial"/>
        </w:rPr>
        <w:t xml:space="preserve">ember who chooses to leave has time to prepare for and find other employment, whereas a </w:t>
      </w:r>
      <w:r w:rsidR="001C27B3">
        <w:rPr>
          <w:rFonts w:ascii="Arial" w:hAnsi="Arial" w:cs="Arial"/>
        </w:rPr>
        <w:t>m</w:t>
      </w:r>
      <w:r w:rsidRPr="00992A6C">
        <w:rPr>
          <w:rFonts w:ascii="Arial" w:hAnsi="Arial" w:cs="Arial"/>
        </w:rPr>
        <w:t xml:space="preserve">ember who loses their seat at an election </w:t>
      </w:r>
      <w:proofErr w:type="gramStart"/>
      <w:r w:rsidRPr="00992A6C">
        <w:rPr>
          <w:rFonts w:ascii="Arial" w:hAnsi="Arial" w:cs="Arial"/>
        </w:rPr>
        <w:t>has to</w:t>
      </w:r>
      <w:proofErr w:type="gramEnd"/>
      <w:r w:rsidRPr="00992A6C">
        <w:rPr>
          <w:rFonts w:ascii="Arial" w:hAnsi="Arial" w:cs="Arial"/>
        </w:rPr>
        <w:t xml:space="preserve"> find alternative employment immediately afterward. The Tribunal noted that </w:t>
      </w:r>
      <w:r w:rsidR="0055495D">
        <w:rPr>
          <w:rFonts w:ascii="Arial" w:hAnsi="Arial" w:cs="Arial"/>
        </w:rPr>
        <w:t xml:space="preserve">a </w:t>
      </w:r>
      <w:r w:rsidR="001C27B3">
        <w:rPr>
          <w:rFonts w:ascii="Arial" w:hAnsi="Arial" w:cs="Arial"/>
        </w:rPr>
        <w:t>m</w:t>
      </w:r>
      <w:r w:rsidR="0055495D">
        <w:rPr>
          <w:rFonts w:ascii="Arial" w:hAnsi="Arial" w:cs="Arial"/>
        </w:rPr>
        <w:t xml:space="preserve">ember </w:t>
      </w:r>
      <w:r w:rsidRPr="00992A6C">
        <w:rPr>
          <w:rFonts w:ascii="Arial" w:hAnsi="Arial" w:cs="Arial"/>
        </w:rPr>
        <w:t>‘</w:t>
      </w:r>
      <w:r w:rsidR="0055495D">
        <w:rPr>
          <w:rFonts w:ascii="Arial" w:hAnsi="Arial" w:cs="Arial"/>
        </w:rPr>
        <w:t>…</w:t>
      </w:r>
      <w:r w:rsidR="007E4743">
        <w:rPr>
          <w:rFonts w:ascii="Arial" w:hAnsi="Arial" w:cs="Arial"/>
        </w:rPr>
        <w:t xml:space="preserve"> </w:t>
      </w:r>
      <w:r w:rsidRPr="00992A6C">
        <w:rPr>
          <w:rFonts w:ascii="Arial" w:hAnsi="Arial" w:cs="Arial"/>
        </w:rPr>
        <w:t xml:space="preserve">may need time to finalise their </w:t>
      </w:r>
      <w:r w:rsidR="007E4743">
        <w:rPr>
          <w:rFonts w:ascii="Arial" w:hAnsi="Arial" w:cs="Arial"/>
        </w:rPr>
        <w:t xml:space="preserve">(Member) </w:t>
      </w:r>
      <w:r w:rsidRPr="00992A6C">
        <w:rPr>
          <w:rFonts w:ascii="Arial" w:hAnsi="Arial" w:cs="Arial"/>
        </w:rPr>
        <w:t>responsibilities given the ‘immediate’ nature of the ‘dismissal</w:t>
      </w:r>
      <w:proofErr w:type="gramStart"/>
      <w:r w:rsidRPr="00992A6C">
        <w:rPr>
          <w:rFonts w:ascii="Arial" w:hAnsi="Arial" w:cs="Arial"/>
        </w:rPr>
        <w:t>’.</w:t>
      </w:r>
      <w:proofErr w:type="gramEnd"/>
      <w:r w:rsidRPr="00992A6C">
        <w:rPr>
          <w:rFonts w:ascii="Arial" w:hAnsi="Arial" w:cs="Arial"/>
        </w:rPr>
        <w:t xml:space="preserve"> </w:t>
      </w:r>
    </w:p>
    <w:p w14:paraId="756E0D83" w14:textId="5301E799" w:rsidR="009B739D" w:rsidRDefault="009B739D" w:rsidP="00946396">
      <w:pPr>
        <w:pStyle w:val="ListParagraph"/>
        <w:numPr>
          <w:ilvl w:val="0"/>
          <w:numId w:val="47"/>
        </w:numPr>
        <w:spacing w:after="200" w:line="276" w:lineRule="auto"/>
        <w:jc w:val="both"/>
        <w:rPr>
          <w:rFonts w:ascii="Arial" w:hAnsi="Arial" w:cs="Arial"/>
        </w:rPr>
      </w:pPr>
      <w:proofErr w:type="gramStart"/>
      <w:r w:rsidRPr="00992A6C">
        <w:rPr>
          <w:rFonts w:ascii="Arial" w:hAnsi="Arial" w:cs="Arial"/>
        </w:rPr>
        <w:t>Generally, other</w:t>
      </w:r>
      <w:proofErr w:type="gramEnd"/>
      <w:r w:rsidRPr="00992A6C">
        <w:rPr>
          <w:rFonts w:ascii="Arial" w:hAnsi="Arial" w:cs="Arial"/>
        </w:rPr>
        <w:t xml:space="preserve"> jurisdictions at the time required the member to leave involuntarily, although what constituted ‘involuntary’ differed between jurisdictions. </w:t>
      </w:r>
    </w:p>
    <w:p w14:paraId="2EC2F260" w14:textId="1D262505" w:rsidR="00B741B6" w:rsidRPr="004B2C28" w:rsidRDefault="00B741B6" w:rsidP="0048782F">
      <w:pPr>
        <w:spacing w:after="200" w:line="276" w:lineRule="auto"/>
        <w:jc w:val="both"/>
        <w:rPr>
          <w:rFonts w:ascii="Arial" w:hAnsi="Arial" w:cs="Arial"/>
          <w:u w:val="single"/>
        </w:rPr>
      </w:pPr>
      <w:r w:rsidRPr="004B2C28">
        <w:rPr>
          <w:rFonts w:ascii="Arial" w:hAnsi="Arial" w:cs="Arial"/>
          <w:u w:val="single"/>
        </w:rPr>
        <w:t xml:space="preserve">Extending </w:t>
      </w:r>
      <w:r w:rsidR="00D4266C">
        <w:rPr>
          <w:rFonts w:ascii="Arial" w:hAnsi="Arial" w:cs="Arial"/>
          <w:u w:val="single"/>
        </w:rPr>
        <w:t xml:space="preserve">the </w:t>
      </w:r>
      <w:r w:rsidRPr="004B2C28">
        <w:rPr>
          <w:rFonts w:ascii="Arial" w:hAnsi="Arial" w:cs="Arial"/>
          <w:u w:val="single"/>
        </w:rPr>
        <w:t>eligibility criteria</w:t>
      </w:r>
    </w:p>
    <w:p w14:paraId="4F1CB780" w14:textId="53B21A3F" w:rsidR="00AD6D26" w:rsidRPr="00B728B4" w:rsidRDefault="00AD39F6" w:rsidP="00025E6C">
      <w:pPr>
        <w:spacing w:before="200" w:after="200" w:line="276" w:lineRule="auto"/>
        <w:jc w:val="both"/>
        <w:rPr>
          <w:rFonts w:ascii="Arial" w:eastAsia="Calibri" w:hAnsi="Arial" w:cs="Arial"/>
          <w:bCs/>
        </w:rPr>
      </w:pPr>
      <w:r w:rsidRPr="00476491">
        <w:rPr>
          <w:rFonts w:ascii="Arial" w:hAnsi="Arial" w:cs="Arial"/>
        </w:rPr>
        <w:t xml:space="preserve">The Tribunal </w:t>
      </w:r>
      <w:proofErr w:type="gramStart"/>
      <w:r w:rsidR="00B741B6">
        <w:rPr>
          <w:rFonts w:ascii="Arial" w:hAnsi="Arial" w:cs="Arial"/>
        </w:rPr>
        <w:t>was requested</w:t>
      </w:r>
      <w:proofErr w:type="gramEnd"/>
      <w:r w:rsidR="00B741B6">
        <w:rPr>
          <w:rFonts w:ascii="Arial" w:hAnsi="Arial" w:cs="Arial"/>
        </w:rPr>
        <w:t xml:space="preserve"> to consider concerns expressed by</w:t>
      </w:r>
      <w:r w:rsidR="00B741B6" w:rsidRPr="002426AB">
        <w:rPr>
          <w:rFonts w:ascii="Arial" w:hAnsi="Arial" w:cs="Arial"/>
        </w:rPr>
        <w:t xml:space="preserve"> </w:t>
      </w:r>
      <w:r w:rsidR="00B741B6">
        <w:rPr>
          <w:rFonts w:ascii="Arial" w:hAnsi="Arial" w:cs="Arial"/>
        </w:rPr>
        <w:t>some m</w:t>
      </w:r>
      <w:r w:rsidR="00B741B6" w:rsidRPr="002426AB">
        <w:rPr>
          <w:rFonts w:ascii="Arial" w:hAnsi="Arial" w:cs="Arial"/>
        </w:rPr>
        <w:t xml:space="preserve">embers regarding anomalies in the way the current eligibility criteria </w:t>
      </w:r>
      <w:r w:rsidR="00B741B6">
        <w:rPr>
          <w:rFonts w:ascii="Arial" w:hAnsi="Arial" w:cs="Arial"/>
        </w:rPr>
        <w:t>for the Transition Allowance is</w:t>
      </w:r>
      <w:r w:rsidR="00B741B6" w:rsidRPr="002426AB">
        <w:rPr>
          <w:rFonts w:ascii="Arial" w:hAnsi="Arial" w:cs="Arial"/>
        </w:rPr>
        <w:t xml:space="preserve"> applied</w:t>
      </w:r>
      <w:r w:rsidR="005F6B75">
        <w:rPr>
          <w:rFonts w:ascii="Arial" w:hAnsi="Arial" w:cs="Arial"/>
        </w:rPr>
        <w:t>. S</w:t>
      </w:r>
      <w:r w:rsidR="007E4743">
        <w:rPr>
          <w:rFonts w:ascii="Arial" w:hAnsi="Arial" w:cs="Arial"/>
        </w:rPr>
        <w:t>pecifically</w:t>
      </w:r>
      <w:r w:rsidR="005F6B75">
        <w:rPr>
          <w:rFonts w:ascii="Arial" w:hAnsi="Arial" w:cs="Arial"/>
        </w:rPr>
        <w:t>,</w:t>
      </w:r>
      <w:r w:rsidR="007E4743">
        <w:rPr>
          <w:rFonts w:ascii="Arial" w:hAnsi="Arial" w:cs="Arial"/>
        </w:rPr>
        <w:t xml:space="preserve"> </w:t>
      </w:r>
      <w:r w:rsidR="005F6B75">
        <w:rPr>
          <w:rFonts w:ascii="Arial" w:hAnsi="Arial" w:cs="Arial"/>
        </w:rPr>
        <w:t xml:space="preserve">the Tribunal </w:t>
      </w:r>
      <w:proofErr w:type="gramStart"/>
      <w:r w:rsidR="005F6B75">
        <w:rPr>
          <w:rFonts w:ascii="Arial" w:hAnsi="Arial" w:cs="Arial"/>
        </w:rPr>
        <w:t>was asked</w:t>
      </w:r>
      <w:proofErr w:type="gramEnd"/>
      <w:r w:rsidR="005F6B75">
        <w:rPr>
          <w:rFonts w:ascii="Arial" w:hAnsi="Arial" w:cs="Arial"/>
        </w:rPr>
        <w:t xml:space="preserve"> to consider </w:t>
      </w:r>
      <w:r w:rsidR="00476491" w:rsidRPr="00B728B4">
        <w:rPr>
          <w:rFonts w:ascii="Arial" w:eastAsia="Calibri" w:hAnsi="Arial" w:cs="Arial"/>
          <w:bCs/>
        </w:rPr>
        <w:t xml:space="preserve">whether </w:t>
      </w:r>
      <w:r w:rsidR="00AD6D26" w:rsidRPr="00B728B4">
        <w:rPr>
          <w:rFonts w:ascii="Arial" w:eastAsia="Calibri" w:hAnsi="Arial" w:cs="Arial"/>
          <w:bCs/>
        </w:rPr>
        <w:t xml:space="preserve">eligibility for the allowance should be </w:t>
      </w:r>
      <w:r w:rsidR="00A54110" w:rsidRPr="00B728B4">
        <w:rPr>
          <w:rFonts w:ascii="Arial" w:eastAsia="Calibri" w:hAnsi="Arial" w:cs="Arial"/>
          <w:bCs/>
        </w:rPr>
        <w:t xml:space="preserve">extended to include a </w:t>
      </w:r>
      <w:r w:rsidR="0048782F" w:rsidRPr="00B728B4">
        <w:rPr>
          <w:rFonts w:ascii="Arial" w:eastAsia="Calibri" w:hAnsi="Arial" w:cs="Arial"/>
          <w:bCs/>
        </w:rPr>
        <w:t>m</w:t>
      </w:r>
      <w:r w:rsidR="00A54110" w:rsidRPr="00B728B4">
        <w:rPr>
          <w:rFonts w:ascii="Arial" w:eastAsia="Calibri" w:hAnsi="Arial" w:cs="Arial"/>
          <w:bCs/>
        </w:rPr>
        <w:t>ember</w:t>
      </w:r>
      <w:r w:rsidR="00AD6D26" w:rsidRPr="00B728B4">
        <w:rPr>
          <w:rFonts w:ascii="Arial" w:eastAsia="Calibri" w:hAnsi="Arial" w:cs="Arial"/>
          <w:bCs/>
        </w:rPr>
        <w:t xml:space="preserve"> who voluntarily elects not to stand after a long period of service</w:t>
      </w:r>
      <w:r w:rsidR="004E66EF" w:rsidRPr="00B728B4">
        <w:rPr>
          <w:rFonts w:ascii="Arial" w:eastAsia="Calibri" w:hAnsi="Arial" w:cs="Arial"/>
          <w:bCs/>
        </w:rPr>
        <w:t xml:space="preserve">. </w:t>
      </w:r>
    </w:p>
    <w:p w14:paraId="2386EE86" w14:textId="1989A17D" w:rsidR="00FB5ADB" w:rsidRPr="00B728B4" w:rsidRDefault="00691C77" w:rsidP="00025E6C">
      <w:pPr>
        <w:spacing w:before="200" w:after="200" w:line="276" w:lineRule="auto"/>
        <w:jc w:val="both"/>
        <w:rPr>
          <w:rFonts w:ascii="Arial" w:eastAsia="Calibri" w:hAnsi="Arial" w:cs="Arial"/>
          <w:bCs/>
        </w:rPr>
      </w:pPr>
      <w:r w:rsidRPr="00B728B4">
        <w:rPr>
          <w:rFonts w:ascii="Arial" w:eastAsia="Calibri" w:hAnsi="Arial" w:cs="Arial"/>
          <w:bCs/>
        </w:rPr>
        <w:t xml:space="preserve">In considering this issue, the Tribunal reviewed the approach to </w:t>
      </w:r>
      <w:r w:rsidR="00AD39F6" w:rsidRPr="00B728B4">
        <w:rPr>
          <w:rFonts w:ascii="Arial" w:eastAsia="Calibri" w:hAnsi="Arial" w:cs="Arial"/>
          <w:bCs/>
        </w:rPr>
        <w:t>the Transition/Resettlement Allowances provided by</w:t>
      </w:r>
      <w:r w:rsidR="00D4266C" w:rsidRPr="00B728B4">
        <w:rPr>
          <w:rFonts w:ascii="Arial" w:eastAsia="Calibri" w:hAnsi="Arial" w:cs="Arial"/>
          <w:bCs/>
        </w:rPr>
        <w:t xml:space="preserve"> other jurisdictions across</w:t>
      </w:r>
      <w:r w:rsidR="00AD39F6" w:rsidRPr="00B728B4">
        <w:rPr>
          <w:rFonts w:ascii="Arial" w:eastAsia="Calibri" w:hAnsi="Arial" w:cs="Arial"/>
          <w:bCs/>
        </w:rPr>
        <w:t xml:space="preserve"> Australia to Members of Parliament. </w:t>
      </w:r>
    </w:p>
    <w:p w14:paraId="077DBCF2" w14:textId="3C583C1E" w:rsidR="00AD39F6" w:rsidRDefault="00AD39F6" w:rsidP="00025E6C">
      <w:pPr>
        <w:spacing w:before="200" w:after="200" w:line="276" w:lineRule="auto"/>
        <w:jc w:val="both"/>
        <w:rPr>
          <w:rFonts w:ascii="Arial" w:eastAsia="Calibri" w:hAnsi="Arial" w:cs="Arial"/>
          <w:bCs/>
        </w:rPr>
      </w:pPr>
      <w:r w:rsidRPr="00B728B4">
        <w:rPr>
          <w:rFonts w:ascii="Arial" w:eastAsia="Calibri" w:hAnsi="Arial" w:cs="Arial"/>
          <w:bCs/>
        </w:rPr>
        <w:t xml:space="preserve">Currently, NSW and Tasmania are the only two jurisdictions where </w:t>
      </w:r>
      <w:r w:rsidR="001C27B3" w:rsidRPr="00B728B4">
        <w:rPr>
          <w:rFonts w:ascii="Arial" w:eastAsia="Calibri" w:hAnsi="Arial" w:cs="Arial"/>
          <w:bCs/>
        </w:rPr>
        <w:t>m</w:t>
      </w:r>
      <w:r w:rsidR="00691C77" w:rsidRPr="00B728B4">
        <w:rPr>
          <w:rFonts w:ascii="Arial" w:eastAsia="Calibri" w:hAnsi="Arial" w:cs="Arial"/>
          <w:bCs/>
        </w:rPr>
        <w:t xml:space="preserve">embers </w:t>
      </w:r>
      <w:r w:rsidRPr="00B728B4">
        <w:rPr>
          <w:rFonts w:ascii="Arial" w:eastAsia="Calibri" w:hAnsi="Arial" w:cs="Arial"/>
          <w:bCs/>
        </w:rPr>
        <w:t xml:space="preserve">do not have an entitlement to a Transition/Resettlement allowance. </w:t>
      </w:r>
      <w:r w:rsidR="00691C77" w:rsidRPr="00B728B4">
        <w:rPr>
          <w:rFonts w:ascii="Arial" w:eastAsia="Calibri" w:hAnsi="Arial" w:cs="Arial"/>
          <w:bCs/>
        </w:rPr>
        <w:t xml:space="preserve">Western Australia, </w:t>
      </w:r>
      <w:r w:rsidRPr="00B728B4">
        <w:rPr>
          <w:rFonts w:ascii="Arial" w:eastAsia="Calibri" w:hAnsi="Arial" w:cs="Arial"/>
          <w:bCs/>
        </w:rPr>
        <w:t>Victoria, N</w:t>
      </w:r>
      <w:r w:rsidR="00691C77" w:rsidRPr="00B728B4">
        <w:rPr>
          <w:rFonts w:ascii="Arial" w:eastAsia="Calibri" w:hAnsi="Arial" w:cs="Arial"/>
          <w:bCs/>
        </w:rPr>
        <w:t xml:space="preserve">orthern Territory and the Australian Capital Territory </w:t>
      </w:r>
      <w:r w:rsidRPr="00B728B4">
        <w:rPr>
          <w:rFonts w:ascii="Arial" w:eastAsia="Calibri" w:hAnsi="Arial" w:cs="Arial"/>
          <w:bCs/>
        </w:rPr>
        <w:t xml:space="preserve">apply a transition allowance for voluntary separation (with </w:t>
      </w:r>
      <w:proofErr w:type="gramStart"/>
      <w:r w:rsidRPr="00B728B4">
        <w:rPr>
          <w:rFonts w:ascii="Arial" w:eastAsia="Calibri" w:hAnsi="Arial" w:cs="Arial"/>
          <w:bCs/>
        </w:rPr>
        <w:t>some</w:t>
      </w:r>
      <w:proofErr w:type="gramEnd"/>
      <w:r w:rsidRPr="00B728B4">
        <w:rPr>
          <w:rFonts w:ascii="Arial" w:eastAsia="Calibri" w:hAnsi="Arial" w:cs="Arial"/>
          <w:bCs/>
        </w:rPr>
        <w:t xml:space="preserve"> exceptions for those who run for office in another Parliament).</w:t>
      </w:r>
      <w:r w:rsidR="00940CE6" w:rsidRPr="00B728B4">
        <w:rPr>
          <w:rFonts w:ascii="Arial" w:eastAsia="Calibri" w:hAnsi="Arial" w:cs="Arial"/>
          <w:bCs/>
        </w:rPr>
        <w:t xml:space="preserve"> The Commonwealth, South Australia and </w:t>
      </w:r>
      <w:r w:rsidR="00E234A2" w:rsidRPr="00B728B4">
        <w:rPr>
          <w:rFonts w:ascii="Arial" w:eastAsia="Calibri" w:hAnsi="Arial" w:cs="Arial"/>
          <w:bCs/>
        </w:rPr>
        <w:t>Queensland</w:t>
      </w:r>
      <w:r w:rsidR="00B15B08" w:rsidRPr="00B728B4">
        <w:rPr>
          <w:rFonts w:ascii="Arial" w:eastAsia="Calibri" w:hAnsi="Arial" w:cs="Arial"/>
          <w:bCs/>
        </w:rPr>
        <w:t xml:space="preserve"> for involuntary separation only. </w:t>
      </w:r>
    </w:p>
    <w:p w14:paraId="65932D90" w14:textId="66B9FE46" w:rsidR="00E04D12" w:rsidRPr="002B1B60" w:rsidRDefault="00691C77" w:rsidP="00E04D12">
      <w:pPr>
        <w:spacing w:before="200" w:after="200" w:line="276" w:lineRule="auto"/>
        <w:jc w:val="both"/>
        <w:rPr>
          <w:rFonts w:ascii="Arial" w:eastAsia="Calibri" w:hAnsi="Arial" w:cs="Arial"/>
          <w:bCs/>
        </w:rPr>
      </w:pPr>
      <w:r w:rsidRPr="002B1B60">
        <w:rPr>
          <w:rFonts w:ascii="Arial" w:eastAsia="Calibri" w:hAnsi="Arial" w:cs="Arial"/>
          <w:bCs/>
        </w:rPr>
        <w:t>The Tribunal determined</w:t>
      </w:r>
      <w:r w:rsidRPr="002B1B60">
        <w:rPr>
          <w:rFonts w:ascii="Arial" w:hAnsi="Arial" w:cs="Arial"/>
        </w:rPr>
        <w:t xml:space="preserve"> </w:t>
      </w:r>
      <w:r w:rsidR="00E04D12" w:rsidRPr="002B1B60">
        <w:rPr>
          <w:rFonts w:ascii="Arial" w:hAnsi="Arial" w:cs="Arial"/>
        </w:rPr>
        <w:t xml:space="preserve">by majority decision, </w:t>
      </w:r>
      <w:r w:rsidR="007452D4" w:rsidRPr="002B1B60">
        <w:rPr>
          <w:rFonts w:ascii="Arial" w:hAnsi="Arial" w:cs="Arial"/>
        </w:rPr>
        <w:t>that there be no change to the current arrangements</w:t>
      </w:r>
      <w:r w:rsidR="00E41CD0" w:rsidRPr="002B1B60">
        <w:rPr>
          <w:rFonts w:ascii="Arial" w:hAnsi="Arial" w:cs="Arial"/>
        </w:rPr>
        <w:t xml:space="preserve"> at this stage but is an issue which will </w:t>
      </w:r>
      <w:proofErr w:type="gramStart"/>
      <w:r w:rsidR="00E41CD0" w:rsidRPr="002B1B60">
        <w:rPr>
          <w:rFonts w:ascii="Arial" w:hAnsi="Arial" w:cs="Arial"/>
        </w:rPr>
        <w:t>be monitored</w:t>
      </w:r>
      <w:proofErr w:type="gramEnd"/>
      <w:r w:rsidR="00FB5ADB" w:rsidRPr="002B1B60">
        <w:rPr>
          <w:rFonts w:ascii="Arial" w:hAnsi="Arial" w:cs="Arial"/>
        </w:rPr>
        <w:t>.</w:t>
      </w:r>
      <w:r w:rsidR="007452D4" w:rsidRPr="002B1B60">
        <w:rPr>
          <w:rFonts w:ascii="Arial" w:hAnsi="Arial" w:cs="Arial"/>
        </w:rPr>
        <w:t xml:space="preserve"> </w:t>
      </w:r>
    </w:p>
    <w:p w14:paraId="254B31AB" w14:textId="1CEAB7EA" w:rsidR="00E04D12" w:rsidRPr="002B1B60" w:rsidRDefault="004E6AB2" w:rsidP="00E04D12">
      <w:pPr>
        <w:spacing w:before="200" w:after="200" w:line="276" w:lineRule="auto"/>
        <w:jc w:val="both"/>
        <w:rPr>
          <w:rFonts w:ascii="Arial" w:eastAsia="Calibri" w:hAnsi="Arial" w:cs="Arial"/>
          <w:bCs/>
        </w:rPr>
      </w:pPr>
      <w:r w:rsidRPr="002B1B60">
        <w:rPr>
          <w:rFonts w:ascii="Arial" w:eastAsia="Calibri" w:hAnsi="Arial" w:cs="Arial"/>
          <w:bCs/>
        </w:rPr>
        <w:t>Mr Tutt (</w:t>
      </w:r>
      <w:r w:rsidR="00E04D12" w:rsidRPr="002B1B60">
        <w:rPr>
          <w:rFonts w:ascii="Arial" w:eastAsia="Calibri" w:hAnsi="Arial" w:cs="Arial"/>
          <w:bCs/>
        </w:rPr>
        <w:t>Chairperson</w:t>
      </w:r>
      <w:r w:rsidRPr="002B1B60">
        <w:rPr>
          <w:rFonts w:ascii="Arial" w:eastAsia="Calibri" w:hAnsi="Arial" w:cs="Arial"/>
          <w:bCs/>
        </w:rPr>
        <w:t>)</w:t>
      </w:r>
      <w:r w:rsidR="00E04D12" w:rsidRPr="002B1B60">
        <w:rPr>
          <w:rFonts w:ascii="Arial" w:eastAsia="Calibri" w:hAnsi="Arial" w:cs="Arial"/>
          <w:bCs/>
        </w:rPr>
        <w:t xml:space="preserve"> was of dissenting view to the majority and supports the position that where a Member </w:t>
      </w:r>
      <w:r w:rsidR="00591B78" w:rsidRPr="002B1B60">
        <w:rPr>
          <w:rFonts w:ascii="Arial" w:eastAsia="Calibri" w:hAnsi="Arial" w:cs="Arial"/>
          <w:bCs/>
        </w:rPr>
        <w:t xml:space="preserve">who </w:t>
      </w:r>
      <w:r w:rsidR="00E04D12" w:rsidRPr="002B1B60">
        <w:rPr>
          <w:rFonts w:ascii="Arial" w:eastAsia="Calibri" w:hAnsi="Arial" w:cs="Arial"/>
          <w:bCs/>
        </w:rPr>
        <w:t xml:space="preserve">has served three consecutive terms retires from Parliament voluntarily, and there has been no misconduct, the Member should receive 12 weeks base salary. </w:t>
      </w:r>
      <w:r w:rsidRPr="002B1B60">
        <w:rPr>
          <w:rFonts w:ascii="Arial" w:eastAsia="Calibri" w:hAnsi="Arial" w:cs="Arial"/>
          <w:bCs/>
        </w:rPr>
        <w:t xml:space="preserve">The payment of the allowance after serving three consecutive terms </w:t>
      </w:r>
      <w:proofErr w:type="gramStart"/>
      <w:r w:rsidRPr="002B1B60">
        <w:rPr>
          <w:rFonts w:ascii="Arial" w:eastAsia="Calibri" w:hAnsi="Arial" w:cs="Arial"/>
          <w:bCs/>
        </w:rPr>
        <w:t>takes into account</w:t>
      </w:r>
      <w:proofErr w:type="gramEnd"/>
      <w:r w:rsidRPr="002B1B60">
        <w:rPr>
          <w:rFonts w:ascii="Arial" w:eastAsia="Calibri" w:hAnsi="Arial" w:cs="Arial"/>
          <w:bCs/>
        </w:rPr>
        <w:t xml:space="preserve"> that unlike other </w:t>
      </w:r>
      <w:r w:rsidR="00ED6AC7" w:rsidRPr="002B1B60">
        <w:rPr>
          <w:rFonts w:ascii="Arial" w:eastAsia="Calibri" w:hAnsi="Arial" w:cs="Arial"/>
          <w:bCs/>
        </w:rPr>
        <w:t xml:space="preserve">members of the workforce who complete a set period of service with their employer and retire/resign voluntarily, Members </w:t>
      </w:r>
      <w:r w:rsidRPr="002B1B60">
        <w:rPr>
          <w:rFonts w:ascii="Arial" w:eastAsia="Calibri" w:hAnsi="Arial" w:cs="Arial"/>
          <w:bCs/>
        </w:rPr>
        <w:t>of Parliament are not entitled to Long Service Leave.</w:t>
      </w:r>
    </w:p>
    <w:p w14:paraId="3640743E" w14:textId="159D67C7" w:rsidR="00E04D12" w:rsidRPr="00BC3474" w:rsidRDefault="00E04D12" w:rsidP="00BC3474">
      <w:pPr>
        <w:spacing w:before="200" w:after="200" w:line="276" w:lineRule="auto"/>
        <w:jc w:val="both"/>
        <w:rPr>
          <w:rFonts w:ascii="Arial" w:eastAsia="Calibri" w:hAnsi="Arial" w:cs="Arial"/>
          <w:bCs/>
        </w:rPr>
      </w:pPr>
      <w:r w:rsidRPr="002B1B60">
        <w:rPr>
          <w:rFonts w:ascii="Arial" w:eastAsia="Calibri" w:hAnsi="Arial" w:cs="Arial"/>
          <w:bCs/>
        </w:rPr>
        <w:t xml:space="preserve">The Tribunal agreed that the Secretariat is to undertake further research on the Transitional Allowance, including what </w:t>
      </w:r>
      <w:proofErr w:type="gramStart"/>
      <w:r w:rsidRPr="002B1B60">
        <w:rPr>
          <w:rFonts w:ascii="Arial" w:eastAsia="Calibri" w:hAnsi="Arial" w:cs="Arial"/>
          <w:bCs/>
        </w:rPr>
        <w:t>is provided</w:t>
      </w:r>
      <w:proofErr w:type="gramEnd"/>
      <w:r w:rsidRPr="002B1B60">
        <w:rPr>
          <w:rFonts w:ascii="Arial" w:eastAsia="Calibri" w:hAnsi="Arial" w:cs="Arial"/>
          <w:bCs/>
        </w:rPr>
        <w:t xml:space="preserve"> in other jurisdictions and how misconduct is defined and determined.</w:t>
      </w:r>
    </w:p>
    <w:p w14:paraId="71A10015" w14:textId="10FBAA7F" w:rsidR="006467F0" w:rsidRPr="002B1B60" w:rsidRDefault="00CC512E" w:rsidP="00CC512E">
      <w:pPr>
        <w:pStyle w:val="Heading1"/>
        <w:spacing w:after="240"/>
        <w:rPr>
          <w:rFonts w:ascii="Arial" w:hAnsi="Arial" w:cs="Arial"/>
        </w:rPr>
      </w:pPr>
      <w:r w:rsidRPr="002B1B60">
        <w:rPr>
          <w:rFonts w:ascii="Arial" w:hAnsi="Arial" w:cs="Arial"/>
        </w:rPr>
        <w:lastRenderedPageBreak/>
        <w:t>A</w:t>
      </w:r>
      <w:r w:rsidR="00310503" w:rsidRPr="002B1B60">
        <w:rPr>
          <w:rFonts w:ascii="Arial" w:hAnsi="Arial" w:cs="Arial"/>
        </w:rPr>
        <w:t>dd</w:t>
      </w:r>
      <w:r w:rsidRPr="002B1B60">
        <w:rPr>
          <w:rFonts w:ascii="Arial" w:hAnsi="Arial" w:cs="Arial"/>
        </w:rPr>
        <w:t xml:space="preserve">itional </w:t>
      </w:r>
      <w:r w:rsidR="001F3388" w:rsidRPr="002B1B60">
        <w:rPr>
          <w:rFonts w:ascii="Arial" w:hAnsi="Arial" w:cs="Arial"/>
        </w:rPr>
        <w:t xml:space="preserve">allocation of </w:t>
      </w:r>
      <w:r w:rsidRPr="002B1B60">
        <w:rPr>
          <w:rFonts w:ascii="Arial" w:hAnsi="Arial" w:cs="Arial"/>
        </w:rPr>
        <w:t xml:space="preserve">staff for cross bench </w:t>
      </w:r>
      <w:r w:rsidR="001F3388" w:rsidRPr="002B1B60">
        <w:rPr>
          <w:rFonts w:ascii="Arial" w:hAnsi="Arial" w:cs="Arial"/>
        </w:rPr>
        <w:t>M</w:t>
      </w:r>
      <w:r w:rsidRPr="002B1B60">
        <w:rPr>
          <w:rFonts w:ascii="Arial" w:hAnsi="Arial" w:cs="Arial"/>
        </w:rPr>
        <w:t>embers</w:t>
      </w:r>
    </w:p>
    <w:p w14:paraId="03B36268" w14:textId="20C4D000" w:rsidR="00087DAC" w:rsidRPr="002B1B60" w:rsidRDefault="00087DAC" w:rsidP="00087DAC">
      <w:pPr>
        <w:spacing w:before="200" w:after="200" w:line="276" w:lineRule="auto"/>
        <w:jc w:val="both"/>
        <w:rPr>
          <w:rFonts w:ascii="Arial" w:hAnsi="Arial" w:cs="Arial"/>
        </w:rPr>
      </w:pPr>
      <w:r w:rsidRPr="002B1B60">
        <w:rPr>
          <w:rFonts w:ascii="Arial" w:hAnsi="Arial" w:cs="Arial"/>
        </w:rPr>
        <w:t xml:space="preserve">Part 2, </w:t>
      </w:r>
      <w:r w:rsidR="00E86D4A" w:rsidRPr="002B1B60">
        <w:rPr>
          <w:rFonts w:ascii="Arial" w:hAnsi="Arial" w:cs="Arial"/>
        </w:rPr>
        <w:t>s</w:t>
      </w:r>
      <w:r w:rsidRPr="002B1B60">
        <w:rPr>
          <w:rFonts w:ascii="Arial" w:hAnsi="Arial" w:cs="Arial"/>
        </w:rPr>
        <w:t xml:space="preserve">ubdivision 3 of the Act provides for the Tribunal to review and determine entitlements of cross bench members to additional staff members (additional staff member determination). </w:t>
      </w:r>
    </w:p>
    <w:p w14:paraId="6DC8F6F4" w14:textId="633642A6" w:rsidR="009A79CD" w:rsidRPr="002B1B60" w:rsidRDefault="009A79CD" w:rsidP="00BC3474">
      <w:pPr>
        <w:spacing w:before="200" w:after="120" w:line="276" w:lineRule="auto"/>
        <w:jc w:val="both"/>
        <w:rPr>
          <w:rFonts w:ascii="Arial" w:hAnsi="Arial" w:cs="Arial"/>
        </w:rPr>
      </w:pPr>
      <w:r w:rsidRPr="002B1B60">
        <w:rPr>
          <w:rFonts w:ascii="Arial" w:hAnsi="Arial" w:cs="Arial"/>
        </w:rPr>
        <w:t xml:space="preserve">On 24 February 2021, </w:t>
      </w:r>
      <w:r w:rsidR="00B63F8B" w:rsidRPr="002B1B60">
        <w:rPr>
          <w:rFonts w:ascii="Arial" w:hAnsi="Arial" w:cs="Arial"/>
        </w:rPr>
        <w:t>the Tribunal made</w:t>
      </w:r>
      <w:r w:rsidRPr="002B1B60">
        <w:rPr>
          <w:rFonts w:ascii="Arial" w:hAnsi="Arial" w:cs="Arial"/>
        </w:rPr>
        <w:t xml:space="preserve"> Determination 23/2021 </w:t>
      </w:r>
      <w:proofErr w:type="gramStart"/>
      <w:r w:rsidR="00BE59E6" w:rsidRPr="002B1B60">
        <w:rPr>
          <w:rFonts w:ascii="Arial" w:hAnsi="Arial" w:cs="Arial"/>
        </w:rPr>
        <w:t>in regard to</w:t>
      </w:r>
      <w:proofErr w:type="gramEnd"/>
      <w:r w:rsidR="00BE59E6" w:rsidRPr="002B1B60">
        <w:rPr>
          <w:rFonts w:ascii="Arial" w:hAnsi="Arial" w:cs="Arial"/>
        </w:rPr>
        <w:t xml:space="preserve"> </w:t>
      </w:r>
      <w:r w:rsidRPr="002B1B60">
        <w:rPr>
          <w:rFonts w:ascii="Arial" w:hAnsi="Arial" w:cs="Arial"/>
        </w:rPr>
        <w:t>“Additional staff member entitlement for cross bench members</w:t>
      </w:r>
      <w:r w:rsidR="00BE59E6" w:rsidRPr="002B1B60">
        <w:rPr>
          <w:rFonts w:ascii="Arial" w:hAnsi="Arial" w:cs="Arial"/>
        </w:rPr>
        <w:t>”</w:t>
      </w:r>
      <w:r w:rsidR="00F65995" w:rsidRPr="002B1B60">
        <w:rPr>
          <w:rFonts w:ascii="Arial" w:hAnsi="Arial" w:cs="Arial"/>
        </w:rPr>
        <w:t xml:space="preserve"> </w:t>
      </w:r>
      <w:r w:rsidR="00743CE5" w:rsidRPr="002B1B60">
        <w:rPr>
          <w:rFonts w:ascii="Arial" w:hAnsi="Arial" w:cs="Arial"/>
        </w:rPr>
        <w:t>which</w:t>
      </w:r>
      <w:r w:rsidR="00F65995" w:rsidRPr="002B1B60">
        <w:rPr>
          <w:rFonts w:ascii="Arial" w:hAnsi="Arial" w:cs="Arial"/>
        </w:rPr>
        <w:t xml:space="preserve"> state</w:t>
      </w:r>
      <w:r w:rsidR="00E25D19" w:rsidRPr="002B1B60">
        <w:rPr>
          <w:rFonts w:ascii="Arial" w:hAnsi="Arial" w:cs="Arial"/>
        </w:rPr>
        <w:t>s:</w:t>
      </w:r>
      <w:r w:rsidRPr="002B1B60">
        <w:rPr>
          <w:rFonts w:ascii="Arial" w:hAnsi="Arial" w:cs="Arial"/>
        </w:rPr>
        <w:t xml:space="preserve"> </w:t>
      </w:r>
    </w:p>
    <w:p w14:paraId="51B6E9E6" w14:textId="77777777" w:rsidR="009A79CD" w:rsidRPr="002B1B60" w:rsidRDefault="009A79CD" w:rsidP="00BC3474">
      <w:pPr>
        <w:numPr>
          <w:ilvl w:val="0"/>
          <w:numId w:val="118"/>
        </w:numPr>
        <w:spacing w:before="120" w:after="120" w:line="276" w:lineRule="auto"/>
        <w:ind w:hanging="357"/>
        <w:jc w:val="both"/>
        <w:rPr>
          <w:rFonts w:ascii="Arial" w:hAnsi="Arial" w:cs="Arial"/>
        </w:rPr>
      </w:pPr>
      <w:r w:rsidRPr="002B1B60">
        <w:rPr>
          <w:rFonts w:ascii="Arial" w:hAnsi="Arial" w:cs="Arial"/>
        </w:rPr>
        <w:t xml:space="preserve">The Tribunal determines that each member who was a cross bench member as at 24 November 2020 </w:t>
      </w:r>
      <w:proofErr w:type="gramStart"/>
      <w:r w:rsidRPr="002B1B60">
        <w:rPr>
          <w:rFonts w:ascii="Arial" w:hAnsi="Arial" w:cs="Arial"/>
        </w:rPr>
        <w:t>is entitled</w:t>
      </w:r>
      <w:proofErr w:type="gramEnd"/>
      <w:r w:rsidRPr="002B1B60">
        <w:rPr>
          <w:rFonts w:ascii="Arial" w:hAnsi="Arial" w:cs="Arial"/>
        </w:rPr>
        <w:t xml:space="preserve"> to a 0.5 full time equivalent (FTE) at the salary rate applicable within the Parliamentary Service equivalent to an Administration Officer level 7 (AO7) under the </w:t>
      </w:r>
      <w:r w:rsidRPr="002B1B60">
        <w:rPr>
          <w:rFonts w:ascii="Arial" w:hAnsi="Arial" w:cs="Arial"/>
          <w:i/>
          <w:iCs/>
        </w:rPr>
        <w:t>State Government Entities Certified Agreement 2019 – Queensland Parliamentary Service Award – State 2015</w:t>
      </w:r>
      <w:r w:rsidRPr="002B1B60">
        <w:rPr>
          <w:rFonts w:ascii="Arial" w:hAnsi="Arial" w:cs="Arial"/>
        </w:rPr>
        <w:t>.</w:t>
      </w:r>
    </w:p>
    <w:p w14:paraId="7137EEC0" w14:textId="77777777" w:rsidR="009A79CD" w:rsidRPr="002B1B60" w:rsidRDefault="009A79CD" w:rsidP="00BC3474">
      <w:pPr>
        <w:numPr>
          <w:ilvl w:val="0"/>
          <w:numId w:val="118"/>
        </w:numPr>
        <w:spacing w:before="120" w:after="120" w:line="276" w:lineRule="auto"/>
        <w:ind w:hanging="357"/>
        <w:jc w:val="both"/>
        <w:rPr>
          <w:rFonts w:ascii="Arial" w:hAnsi="Arial" w:cs="Arial"/>
        </w:rPr>
      </w:pPr>
      <w:r w:rsidRPr="002B1B60">
        <w:rPr>
          <w:rFonts w:ascii="Arial" w:hAnsi="Arial" w:cs="Arial"/>
        </w:rPr>
        <w:t xml:space="preserve">Appointments to the positions should </w:t>
      </w:r>
      <w:proofErr w:type="gramStart"/>
      <w:r w:rsidRPr="002B1B60">
        <w:rPr>
          <w:rFonts w:ascii="Arial" w:hAnsi="Arial" w:cs="Arial"/>
        </w:rPr>
        <w:t>be made</w:t>
      </w:r>
      <w:proofErr w:type="gramEnd"/>
      <w:r w:rsidRPr="002B1B60">
        <w:rPr>
          <w:rFonts w:ascii="Arial" w:hAnsi="Arial" w:cs="Arial"/>
        </w:rPr>
        <w:t xml:space="preserve"> by way of an Employment Contract pursuant to section 27 of the </w:t>
      </w:r>
      <w:r w:rsidRPr="002B1B60">
        <w:rPr>
          <w:rFonts w:ascii="Arial" w:hAnsi="Arial" w:cs="Arial"/>
          <w:i/>
          <w:iCs/>
        </w:rPr>
        <w:t>Parliamentary Service Act 1988</w:t>
      </w:r>
      <w:r w:rsidRPr="002B1B60">
        <w:rPr>
          <w:rFonts w:ascii="Arial" w:hAnsi="Arial" w:cs="Arial"/>
        </w:rPr>
        <w:t xml:space="preserve"> or via secondment arrangements if the person is appointed from an existing Queensland public sector position. </w:t>
      </w:r>
    </w:p>
    <w:p w14:paraId="09CF1F8F" w14:textId="396C47BF" w:rsidR="009A79CD" w:rsidRPr="002B1B60" w:rsidRDefault="009A79CD" w:rsidP="00BC3474">
      <w:pPr>
        <w:numPr>
          <w:ilvl w:val="0"/>
          <w:numId w:val="118"/>
        </w:numPr>
        <w:spacing w:before="120" w:after="120" w:line="276" w:lineRule="auto"/>
        <w:ind w:hanging="357"/>
        <w:jc w:val="both"/>
        <w:rPr>
          <w:rFonts w:ascii="Arial" w:hAnsi="Arial" w:cs="Arial"/>
        </w:rPr>
      </w:pPr>
      <w:r w:rsidRPr="002B1B60">
        <w:rPr>
          <w:rFonts w:ascii="Arial" w:hAnsi="Arial" w:cs="Arial"/>
        </w:rPr>
        <w:t xml:space="preserve">The position description for the AO7 ‘Parliamentary Policy Officer’ should </w:t>
      </w:r>
      <w:proofErr w:type="gramStart"/>
      <w:r w:rsidRPr="002B1B60">
        <w:rPr>
          <w:rFonts w:ascii="Arial" w:hAnsi="Arial" w:cs="Arial"/>
        </w:rPr>
        <w:t>be settled</w:t>
      </w:r>
      <w:proofErr w:type="gramEnd"/>
      <w:r w:rsidRPr="002B1B60">
        <w:rPr>
          <w:rFonts w:ascii="Arial" w:hAnsi="Arial" w:cs="Arial"/>
        </w:rPr>
        <w:t xml:space="preserve"> by the Clerk of the Parliament as the employing authority. </w:t>
      </w:r>
    </w:p>
    <w:p w14:paraId="69FA6253" w14:textId="7941967D" w:rsidR="009A79CD" w:rsidRPr="002B1B60" w:rsidRDefault="009A79CD" w:rsidP="00BC3474">
      <w:pPr>
        <w:numPr>
          <w:ilvl w:val="0"/>
          <w:numId w:val="118"/>
        </w:numPr>
        <w:spacing w:before="120" w:after="120" w:line="276" w:lineRule="auto"/>
        <w:ind w:hanging="357"/>
        <w:jc w:val="both"/>
        <w:rPr>
          <w:rFonts w:ascii="Arial" w:hAnsi="Arial" w:cs="Arial"/>
        </w:rPr>
      </w:pPr>
      <w:r w:rsidRPr="002B1B60">
        <w:rPr>
          <w:rFonts w:ascii="Arial" w:hAnsi="Arial" w:cs="Arial"/>
        </w:rPr>
        <w:t xml:space="preserve">The Parliamentary Policy Officer </w:t>
      </w:r>
      <w:r w:rsidR="00E86D4A" w:rsidRPr="002B1B60">
        <w:rPr>
          <w:rFonts w:ascii="Arial" w:hAnsi="Arial" w:cs="Arial"/>
        </w:rPr>
        <w:t xml:space="preserve">(PPO) </w:t>
      </w:r>
      <w:r w:rsidRPr="002B1B60">
        <w:rPr>
          <w:rFonts w:ascii="Arial" w:hAnsi="Arial" w:cs="Arial"/>
        </w:rPr>
        <w:t>will provide Parliamentary support to the cross bench member and must not:</w:t>
      </w:r>
    </w:p>
    <w:p w14:paraId="459AFEE4" w14:textId="77777777" w:rsidR="009A79CD" w:rsidRPr="002B1B60" w:rsidRDefault="009A79CD" w:rsidP="00BC3474">
      <w:pPr>
        <w:numPr>
          <w:ilvl w:val="1"/>
          <w:numId w:val="118"/>
        </w:numPr>
        <w:spacing w:before="120" w:after="120" w:line="276" w:lineRule="auto"/>
        <w:ind w:hanging="357"/>
        <w:jc w:val="both"/>
        <w:rPr>
          <w:rFonts w:ascii="Arial" w:hAnsi="Arial" w:cs="Arial"/>
        </w:rPr>
      </w:pPr>
      <w:r w:rsidRPr="002B1B60">
        <w:rPr>
          <w:rFonts w:ascii="Arial" w:hAnsi="Arial" w:cs="Arial"/>
        </w:rPr>
        <w:t>support the cross bench member in their electorate or political party functions, or</w:t>
      </w:r>
    </w:p>
    <w:p w14:paraId="66314A84" w14:textId="77777777" w:rsidR="009A79CD" w:rsidRPr="002B1B60" w:rsidRDefault="009A79CD" w:rsidP="00BC3474">
      <w:pPr>
        <w:numPr>
          <w:ilvl w:val="1"/>
          <w:numId w:val="118"/>
        </w:numPr>
        <w:spacing w:before="120" w:after="120" w:line="276" w:lineRule="auto"/>
        <w:ind w:hanging="357"/>
        <w:jc w:val="both"/>
        <w:rPr>
          <w:rFonts w:ascii="Arial" w:hAnsi="Arial" w:cs="Arial"/>
        </w:rPr>
      </w:pPr>
      <w:r w:rsidRPr="002B1B60">
        <w:rPr>
          <w:rFonts w:ascii="Arial" w:hAnsi="Arial" w:cs="Arial"/>
        </w:rPr>
        <w:t xml:space="preserve">be a ‘connected party’ to the cross bench member as defined in the </w:t>
      </w:r>
      <w:r w:rsidRPr="002B1B60">
        <w:rPr>
          <w:rFonts w:ascii="Arial" w:hAnsi="Arial" w:cs="Arial"/>
          <w:i/>
          <w:iCs/>
        </w:rPr>
        <w:t>Member’s Remuneration Handbook</w:t>
      </w:r>
      <w:r w:rsidRPr="002B1B60">
        <w:rPr>
          <w:rFonts w:ascii="Arial" w:hAnsi="Arial" w:cs="Arial"/>
        </w:rPr>
        <w:t xml:space="preserve"> (Remuneration Handbook). </w:t>
      </w:r>
    </w:p>
    <w:p w14:paraId="0C04940E" w14:textId="74717BC3" w:rsidR="009A79CD" w:rsidRPr="002B1B60" w:rsidRDefault="009A79CD" w:rsidP="00BC3474">
      <w:pPr>
        <w:numPr>
          <w:ilvl w:val="0"/>
          <w:numId w:val="118"/>
        </w:numPr>
        <w:spacing w:before="120" w:after="120" w:line="276" w:lineRule="auto"/>
        <w:ind w:hanging="357"/>
        <w:jc w:val="both"/>
        <w:rPr>
          <w:rFonts w:ascii="Arial" w:hAnsi="Arial" w:cs="Arial"/>
        </w:rPr>
      </w:pPr>
      <w:r w:rsidRPr="002B1B60">
        <w:rPr>
          <w:rFonts w:ascii="Arial" w:hAnsi="Arial" w:cs="Arial"/>
        </w:rPr>
        <w:t xml:space="preserve">Subject to (4) above, the cross bench member has discretion to decide the work arrangements, work location, </w:t>
      </w:r>
      <w:r w:rsidR="00DD017E" w:rsidRPr="002B1B60">
        <w:rPr>
          <w:rFonts w:ascii="Arial" w:hAnsi="Arial" w:cs="Arial"/>
        </w:rPr>
        <w:t>hours,</w:t>
      </w:r>
      <w:r w:rsidRPr="002B1B60">
        <w:rPr>
          <w:rFonts w:ascii="Arial" w:hAnsi="Arial" w:cs="Arial"/>
        </w:rPr>
        <w:t xml:space="preserve"> and schedule for the 0.5 AO7 </w:t>
      </w:r>
      <w:r w:rsidR="00E86D4A" w:rsidRPr="002B1B60">
        <w:rPr>
          <w:rFonts w:ascii="Arial" w:hAnsi="Arial" w:cs="Arial"/>
        </w:rPr>
        <w:t>PPO</w:t>
      </w:r>
      <w:r w:rsidRPr="002B1B60">
        <w:rPr>
          <w:rFonts w:ascii="Arial" w:hAnsi="Arial" w:cs="Arial"/>
        </w:rPr>
        <w:t>.</w:t>
      </w:r>
    </w:p>
    <w:p w14:paraId="60520512" w14:textId="0936DE9E" w:rsidR="001C3E14" w:rsidRPr="002B1B60" w:rsidRDefault="00E25D19" w:rsidP="00BC3474">
      <w:pPr>
        <w:spacing w:before="200" w:after="200" w:line="276" w:lineRule="auto"/>
        <w:jc w:val="both"/>
        <w:rPr>
          <w:rFonts w:ascii="Arial" w:hAnsi="Arial" w:cs="Arial"/>
        </w:rPr>
      </w:pPr>
      <w:r w:rsidRPr="002B1B60">
        <w:rPr>
          <w:rFonts w:ascii="Arial" w:hAnsi="Arial" w:cs="Arial"/>
        </w:rPr>
        <w:t>In March 2022</w:t>
      </w:r>
      <w:r w:rsidR="00D16857" w:rsidRPr="002B1B60">
        <w:rPr>
          <w:rFonts w:ascii="Arial" w:hAnsi="Arial" w:cs="Arial"/>
        </w:rPr>
        <w:t>, t</w:t>
      </w:r>
      <w:r w:rsidR="0048290C" w:rsidRPr="002B1B60">
        <w:rPr>
          <w:rFonts w:ascii="Arial" w:hAnsi="Arial" w:cs="Arial"/>
        </w:rPr>
        <w:t xml:space="preserve">he Tribunal considered </w:t>
      </w:r>
      <w:r w:rsidR="009C29DC" w:rsidRPr="002B1B60">
        <w:rPr>
          <w:rFonts w:ascii="Arial" w:hAnsi="Arial" w:cs="Arial"/>
        </w:rPr>
        <w:t>correspo</w:t>
      </w:r>
      <w:r w:rsidR="00DB4EA9" w:rsidRPr="002B1B60">
        <w:rPr>
          <w:rFonts w:ascii="Arial" w:hAnsi="Arial" w:cs="Arial"/>
        </w:rPr>
        <w:t>ndence</w:t>
      </w:r>
      <w:r w:rsidR="001F12EE" w:rsidRPr="002B1B60">
        <w:rPr>
          <w:rFonts w:ascii="Arial" w:hAnsi="Arial" w:cs="Arial"/>
        </w:rPr>
        <w:t xml:space="preserve"> </w:t>
      </w:r>
      <w:r w:rsidR="00D16857" w:rsidRPr="002B1B60">
        <w:rPr>
          <w:rFonts w:ascii="Arial" w:hAnsi="Arial" w:cs="Arial"/>
        </w:rPr>
        <w:t xml:space="preserve">received </w:t>
      </w:r>
      <w:r w:rsidR="00CD49F8" w:rsidRPr="002B1B60">
        <w:rPr>
          <w:rFonts w:ascii="Arial" w:hAnsi="Arial" w:cs="Arial"/>
        </w:rPr>
        <w:t xml:space="preserve">from </w:t>
      </w:r>
      <w:r w:rsidR="009C29DC" w:rsidRPr="002B1B60">
        <w:rPr>
          <w:rFonts w:ascii="Arial" w:hAnsi="Arial" w:cs="Arial"/>
        </w:rPr>
        <w:t xml:space="preserve">two cross bench members </w:t>
      </w:r>
      <w:r w:rsidR="00E86D4A" w:rsidRPr="002B1B60">
        <w:rPr>
          <w:rFonts w:ascii="Arial" w:hAnsi="Arial" w:cs="Arial"/>
        </w:rPr>
        <w:t>seeking an</w:t>
      </w:r>
      <w:r w:rsidR="003908A5" w:rsidRPr="002B1B60">
        <w:rPr>
          <w:rFonts w:ascii="Arial" w:hAnsi="Arial" w:cs="Arial"/>
        </w:rPr>
        <w:t xml:space="preserve"> increase</w:t>
      </w:r>
      <w:r w:rsidR="00062AD8" w:rsidRPr="002B1B60">
        <w:rPr>
          <w:rFonts w:ascii="Arial" w:hAnsi="Arial" w:cs="Arial"/>
        </w:rPr>
        <w:t>.</w:t>
      </w:r>
      <w:r w:rsidR="003908A5" w:rsidRPr="002B1B60">
        <w:rPr>
          <w:rFonts w:ascii="Arial" w:hAnsi="Arial" w:cs="Arial"/>
        </w:rPr>
        <w:t>in the additional staffing allocation and the removal of the limitation that prevents the PPO from supporting the cross bench member in their electorat</w:t>
      </w:r>
      <w:r w:rsidR="00295D02" w:rsidRPr="002B1B60">
        <w:rPr>
          <w:rFonts w:ascii="Arial" w:hAnsi="Arial" w:cs="Arial"/>
        </w:rPr>
        <w:t xml:space="preserve">e </w:t>
      </w:r>
      <w:r w:rsidR="00DD017E" w:rsidRPr="002B1B60">
        <w:rPr>
          <w:rFonts w:ascii="Arial" w:hAnsi="Arial" w:cs="Arial"/>
        </w:rPr>
        <w:t>office or</w:t>
      </w:r>
      <w:r w:rsidR="003908A5" w:rsidRPr="002B1B60">
        <w:rPr>
          <w:rFonts w:ascii="Arial" w:hAnsi="Arial" w:cs="Arial"/>
        </w:rPr>
        <w:t xml:space="preserve"> at political party functions.</w:t>
      </w:r>
    </w:p>
    <w:p w14:paraId="5B0243FB" w14:textId="49069764" w:rsidR="00CC512E" w:rsidRPr="00BC3474" w:rsidRDefault="007A0960" w:rsidP="00D934F1">
      <w:pPr>
        <w:spacing w:before="200" w:after="200" w:line="276" w:lineRule="auto"/>
        <w:jc w:val="both"/>
        <w:rPr>
          <w:rFonts w:ascii="Arial" w:eastAsia="Calibri" w:hAnsi="Arial" w:cs="Arial"/>
        </w:rPr>
        <w:sectPr w:rsidR="00CC512E" w:rsidRPr="00BC3474" w:rsidSect="00602AF9">
          <w:footerReference w:type="default" r:id="rId19"/>
          <w:footerReference w:type="first" r:id="rId20"/>
          <w:type w:val="continuous"/>
          <w:pgSz w:w="11906" w:h="16838"/>
          <w:pgMar w:top="1843" w:right="1134" w:bottom="851" w:left="1134" w:header="709" w:footer="0" w:gutter="0"/>
          <w:pgNumType w:start="1"/>
          <w:cols w:space="720"/>
          <w:titlePg/>
          <w:docGrid w:linePitch="299"/>
        </w:sectPr>
      </w:pPr>
      <w:r w:rsidRPr="002B1B60">
        <w:rPr>
          <w:rFonts w:ascii="Arial" w:hAnsi="Arial" w:cs="Arial"/>
        </w:rPr>
        <w:t>The Tribunal</w:t>
      </w:r>
      <w:r w:rsidR="00E4439E" w:rsidRPr="002B1B60">
        <w:rPr>
          <w:rFonts w:ascii="Arial" w:hAnsi="Arial" w:cs="Arial"/>
        </w:rPr>
        <w:t xml:space="preserve"> support</w:t>
      </w:r>
      <w:r w:rsidR="00EC7D17" w:rsidRPr="002B1B60">
        <w:rPr>
          <w:rFonts w:ascii="Arial" w:hAnsi="Arial" w:cs="Arial"/>
        </w:rPr>
        <w:t>s</w:t>
      </w:r>
      <w:r w:rsidR="00E4439E" w:rsidRPr="002B1B60">
        <w:rPr>
          <w:rFonts w:ascii="Arial" w:hAnsi="Arial" w:cs="Arial"/>
        </w:rPr>
        <w:t xml:space="preserve"> an </w:t>
      </w:r>
      <w:r w:rsidR="004517AA" w:rsidRPr="002B1B60">
        <w:rPr>
          <w:rFonts w:ascii="Arial" w:hAnsi="Arial" w:cs="Arial"/>
        </w:rPr>
        <w:t xml:space="preserve">increase in the staffing allocation for cross bench members from 0.5 to </w:t>
      </w:r>
      <w:r w:rsidR="00DD017E" w:rsidRPr="002B1B60">
        <w:rPr>
          <w:rFonts w:ascii="Arial" w:hAnsi="Arial" w:cs="Arial"/>
        </w:rPr>
        <w:t>1 FTE</w:t>
      </w:r>
      <w:r w:rsidR="004517AA" w:rsidRPr="002B1B60">
        <w:rPr>
          <w:rFonts w:ascii="Arial" w:hAnsi="Arial" w:cs="Arial"/>
        </w:rPr>
        <w:t xml:space="preserve"> position, </w:t>
      </w:r>
      <w:r w:rsidR="00E86D4A" w:rsidRPr="002B1B60">
        <w:rPr>
          <w:rFonts w:ascii="Arial" w:hAnsi="Arial" w:cs="Arial"/>
        </w:rPr>
        <w:t>retaining</w:t>
      </w:r>
      <w:r w:rsidR="004517AA" w:rsidRPr="002B1B60">
        <w:rPr>
          <w:rFonts w:ascii="Arial" w:eastAsia="Calibri" w:hAnsi="Arial" w:cs="Arial"/>
          <w:bCs/>
        </w:rPr>
        <w:t xml:space="preserve"> the </w:t>
      </w:r>
      <w:r w:rsidR="00295D02" w:rsidRPr="002B1B60">
        <w:rPr>
          <w:rFonts w:ascii="Arial" w:eastAsia="Calibri" w:hAnsi="Arial" w:cs="Arial"/>
          <w:bCs/>
        </w:rPr>
        <w:t>limitation preventing the PPO from supporting the cross bench member in their electorate office or at political party functions</w:t>
      </w:r>
      <w:r w:rsidR="004517AA" w:rsidRPr="002B1B60">
        <w:rPr>
          <w:rFonts w:ascii="Arial" w:eastAsia="Calibri" w:hAnsi="Arial" w:cs="Arial"/>
          <w:bCs/>
        </w:rPr>
        <w:t>.</w:t>
      </w:r>
    </w:p>
    <w:p w14:paraId="00F6D3A5" w14:textId="458F3342" w:rsidR="001C3E14" w:rsidRDefault="001C3E14" w:rsidP="001C3E14">
      <w:pPr>
        <w:pStyle w:val="Title"/>
        <w:pBdr>
          <w:bottom w:val="single" w:sz="8" w:space="7" w:color="4F81BD"/>
        </w:pBdr>
        <w:rPr>
          <w:rFonts w:ascii="Arial" w:hAnsi="Arial" w:cs="Arial"/>
          <w:lang w:val="en-US"/>
        </w:rPr>
      </w:pPr>
      <w:r>
        <w:rPr>
          <w:rFonts w:ascii="Arial" w:hAnsi="Arial" w:cs="Arial"/>
          <w:lang w:val="en-US"/>
        </w:rPr>
        <w:lastRenderedPageBreak/>
        <w:t>Determination 2</w:t>
      </w:r>
      <w:r w:rsidR="00821E59">
        <w:rPr>
          <w:rFonts w:ascii="Arial" w:hAnsi="Arial" w:cs="Arial"/>
          <w:lang w:val="en-US"/>
        </w:rPr>
        <w:t>6</w:t>
      </w:r>
      <w:r>
        <w:rPr>
          <w:rFonts w:ascii="Arial" w:hAnsi="Arial" w:cs="Arial"/>
          <w:lang w:val="en-US"/>
        </w:rPr>
        <w:t>/</w:t>
      </w:r>
      <w:r w:rsidRPr="002B1B60">
        <w:rPr>
          <w:rFonts w:ascii="Arial" w:hAnsi="Arial" w:cs="Arial"/>
          <w:lang w:val="en-US"/>
        </w:rPr>
        <w:t>202</w:t>
      </w:r>
      <w:r w:rsidR="004D22B0" w:rsidRPr="002B1B60">
        <w:rPr>
          <w:rFonts w:ascii="Arial" w:hAnsi="Arial" w:cs="Arial"/>
          <w:lang w:val="en-US"/>
        </w:rPr>
        <w:t>2</w:t>
      </w:r>
    </w:p>
    <w:p w14:paraId="18222428" w14:textId="2F337C17" w:rsidR="001C3E14" w:rsidRDefault="001C3E14" w:rsidP="00025E6C">
      <w:pPr>
        <w:spacing w:before="200" w:after="200" w:line="276" w:lineRule="auto"/>
        <w:jc w:val="both"/>
        <w:rPr>
          <w:rFonts w:ascii="Arial" w:eastAsia="Calibri" w:hAnsi="Arial" w:cs="Arial"/>
        </w:rPr>
      </w:pPr>
      <w:r>
        <w:rPr>
          <w:rFonts w:ascii="Arial" w:eastAsia="Calibri" w:hAnsi="Arial" w:cs="Arial"/>
        </w:rPr>
        <w:t xml:space="preserve">Any inconsistencies between earlier </w:t>
      </w:r>
      <w:r w:rsidRPr="002B1B60">
        <w:rPr>
          <w:rFonts w:ascii="Arial" w:eastAsia="Calibri" w:hAnsi="Arial" w:cs="Arial"/>
        </w:rPr>
        <w:t xml:space="preserve">Tribunal Determinations and Determination </w:t>
      </w:r>
      <w:r w:rsidR="00821E59" w:rsidRPr="002B1B60">
        <w:rPr>
          <w:rFonts w:ascii="Arial" w:eastAsia="Calibri" w:hAnsi="Arial" w:cs="Arial"/>
        </w:rPr>
        <w:t>26</w:t>
      </w:r>
      <w:r w:rsidRPr="002B1B60">
        <w:rPr>
          <w:rFonts w:ascii="Arial" w:eastAsia="Calibri" w:hAnsi="Arial" w:cs="Arial"/>
        </w:rPr>
        <w:t>/202</w:t>
      </w:r>
      <w:r w:rsidR="004D22B0" w:rsidRPr="002B1B60">
        <w:rPr>
          <w:rFonts w:ascii="Arial" w:eastAsia="Calibri" w:hAnsi="Arial" w:cs="Arial"/>
        </w:rPr>
        <w:t>2</w:t>
      </w:r>
      <w:r w:rsidRPr="002B1B60">
        <w:rPr>
          <w:rFonts w:ascii="Arial" w:eastAsia="Calibri" w:hAnsi="Arial" w:cs="Arial"/>
        </w:rPr>
        <w:t xml:space="preserve"> </w:t>
      </w:r>
      <w:proofErr w:type="gramStart"/>
      <w:r w:rsidRPr="002B1B60">
        <w:rPr>
          <w:rFonts w:ascii="Arial" w:eastAsia="Calibri" w:hAnsi="Arial" w:cs="Arial"/>
        </w:rPr>
        <w:t>are resolved</w:t>
      </w:r>
      <w:proofErr w:type="gramEnd"/>
      <w:r w:rsidRPr="002B1B60">
        <w:rPr>
          <w:rFonts w:ascii="Arial" w:eastAsia="Calibri" w:hAnsi="Arial" w:cs="Arial"/>
        </w:rPr>
        <w:t xml:space="preserve"> in favour of Determination </w:t>
      </w:r>
      <w:r w:rsidR="00821E59" w:rsidRPr="002B1B60">
        <w:rPr>
          <w:rFonts w:ascii="Arial" w:eastAsia="Calibri" w:hAnsi="Arial" w:cs="Arial"/>
        </w:rPr>
        <w:t>26</w:t>
      </w:r>
      <w:r w:rsidRPr="002B1B60">
        <w:rPr>
          <w:rFonts w:ascii="Arial" w:eastAsia="Calibri" w:hAnsi="Arial" w:cs="Arial"/>
        </w:rPr>
        <w:t>/202</w:t>
      </w:r>
      <w:r w:rsidR="004D22B0" w:rsidRPr="002B1B60">
        <w:rPr>
          <w:rFonts w:ascii="Arial" w:eastAsia="Calibri" w:hAnsi="Arial" w:cs="Arial"/>
        </w:rPr>
        <w:t>2</w:t>
      </w:r>
      <w:r w:rsidRPr="002B1B60">
        <w:rPr>
          <w:rFonts w:ascii="Arial" w:eastAsia="Calibri" w:hAnsi="Arial" w:cs="Arial"/>
        </w:rPr>
        <w:t xml:space="preserve">. Matters in earlier Determinations not addressed in this Determination </w:t>
      </w:r>
      <w:proofErr w:type="gramStart"/>
      <w:r w:rsidRPr="002B1B60">
        <w:rPr>
          <w:rFonts w:ascii="Arial" w:eastAsia="Calibri" w:hAnsi="Arial" w:cs="Arial"/>
        </w:rPr>
        <w:t>are confirmed</w:t>
      </w:r>
      <w:proofErr w:type="gramEnd"/>
      <w:r w:rsidRPr="002B1B60">
        <w:rPr>
          <w:rFonts w:ascii="Arial" w:eastAsia="Calibri" w:hAnsi="Arial" w:cs="Arial"/>
        </w:rPr>
        <w:t xml:space="preserve"> by the Tribunal and not amended.</w:t>
      </w:r>
      <w:r>
        <w:rPr>
          <w:rFonts w:ascii="Arial" w:eastAsia="Calibri" w:hAnsi="Arial" w:cs="Arial"/>
        </w:rPr>
        <w:t xml:space="preserve"> </w:t>
      </w:r>
    </w:p>
    <w:p w14:paraId="1433EE03" w14:textId="77777777" w:rsidR="001C3E14" w:rsidRDefault="001C3E14" w:rsidP="00B41922">
      <w:pPr>
        <w:pStyle w:val="Subtitle"/>
        <w:spacing w:before="200" w:after="200" w:line="257" w:lineRule="auto"/>
        <w:rPr>
          <w:rFonts w:ascii="Arial" w:hAnsi="Arial" w:cs="Arial"/>
          <w:sz w:val="22"/>
          <w:szCs w:val="22"/>
        </w:rPr>
      </w:pPr>
      <w:r>
        <w:rPr>
          <w:rFonts w:ascii="Arial" w:hAnsi="Arial" w:cs="Arial"/>
          <w:sz w:val="22"/>
          <w:szCs w:val="22"/>
        </w:rPr>
        <w:t>Electorate and Communication Allowance</w:t>
      </w:r>
    </w:p>
    <w:p w14:paraId="273EA1BD" w14:textId="6BE04EA0" w:rsidR="001C3E14" w:rsidRPr="00627AA6" w:rsidRDefault="001C3E14" w:rsidP="00B41922">
      <w:pPr>
        <w:pStyle w:val="ListParagraph"/>
        <w:numPr>
          <w:ilvl w:val="0"/>
          <w:numId w:val="51"/>
        </w:numPr>
        <w:spacing w:before="200" w:after="200" w:line="257" w:lineRule="auto"/>
        <w:ind w:left="567" w:hanging="567"/>
        <w:contextualSpacing w:val="0"/>
        <w:rPr>
          <w:rFonts w:ascii="Arial" w:hAnsi="Arial" w:cs="Arial"/>
        </w:rPr>
      </w:pPr>
      <w:r>
        <w:rPr>
          <w:rFonts w:ascii="Arial" w:eastAsia="Calibri" w:hAnsi="Arial" w:cs="Arial"/>
        </w:rPr>
        <w:t>The</w:t>
      </w:r>
      <w:r>
        <w:rPr>
          <w:rFonts w:ascii="Arial" w:hAnsi="Arial" w:cs="Arial"/>
        </w:rPr>
        <w:t xml:space="preserve"> Tribunal determines </w:t>
      </w:r>
      <w:r w:rsidR="00D953E4">
        <w:rPr>
          <w:rFonts w:ascii="Arial" w:hAnsi="Arial" w:cs="Arial"/>
        </w:rPr>
        <w:t xml:space="preserve">that electorates will be allocated to the following </w:t>
      </w:r>
      <w:r w:rsidR="00976B63">
        <w:rPr>
          <w:rFonts w:ascii="Arial" w:hAnsi="Arial" w:cs="Arial"/>
        </w:rPr>
        <w:t xml:space="preserve">Electorate and Communication Allowance </w:t>
      </w:r>
      <w:r w:rsidR="00F232C8">
        <w:rPr>
          <w:rFonts w:ascii="Arial" w:hAnsi="Arial" w:cs="Arial"/>
        </w:rPr>
        <w:t xml:space="preserve">(ECA) </w:t>
      </w:r>
      <w:r w:rsidR="00D953E4">
        <w:rPr>
          <w:rFonts w:ascii="Arial" w:hAnsi="Arial" w:cs="Arial"/>
        </w:rPr>
        <w:t xml:space="preserve">bands with effect </w:t>
      </w:r>
      <w:r w:rsidR="00D953E4" w:rsidRPr="00627AA6">
        <w:rPr>
          <w:rFonts w:ascii="Arial" w:hAnsi="Arial" w:cs="Arial"/>
        </w:rPr>
        <w:t xml:space="preserve">from </w:t>
      </w:r>
      <w:r w:rsidR="008E7FCE" w:rsidRPr="008125D1">
        <w:rPr>
          <w:rFonts w:ascii="Arial" w:hAnsi="Arial" w:cs="Arial"/>
        </w:rPr>
        <w:t>1</w:t>
      </w:r>
      <w:r w:rsidR="00D953E4" w:rsidRPr="008125D1">
        <w:rPr>
          <w:rFonts w:ascii="Arial" w:hAnsi="Arial" w:cs="Arial"/>
        </w:rPr>
        <w:t xml:space="preserve"> </w:t>
      </w:r>
      <w:r w:rsidR="001A55C5" w:rsidRPr="008125D1">
        <w:rPr>
          <w:rFonts w:ascii="Arial" w:hAnsi="Arial" w:cs="Arial"/>
        </w:rPr>
        <w:t xml:space="preserve">July </w:t>
      </w:r>
      <w:r w:rsidR="00D953E4" w:rsidRPr="008125D1">
        <w:rPr>
          <w:rFonts w:ascii="Arial" w:hAnsi="Arial" w:cs="Arial"/>
        </w:rPr>
        <w:t>2021</w:t>
      </w:r>
      <w:r w:rsidR="00D953E4" w:rsidRPr="00627AA6">
        <w:rPr>
          <w:rFonts w:ascii="Arial" w:hAnsi="Arial" w:cs="Arial"/>
        </w:rPr>
        <w:t>:</w:t>
      </w:r>
      <w:r w:rsidRPr="00627AA6">
        <w:rPr>
          <w:rFonts w:ascii="Arial" w:hAnsi="Arial" w:cs="Arial"/>
        </w:rPr>
        <w:t xml:space="preserve"> </w:t>
      </w:r>
    </w:p>
    <w:tbl>
      <w:tblPr>
        <w:tblW w:w="8789" w:type="dxa"/>
        <w:tblInd w:w="704" w:type="dxa"/>
        <w:tblLook w:val="04A0" w:firstRow="1" w:lastRow="0" w:firstColumn="1" w:lastColumn="0" w:noHBand="0" w:noVBand="1"/>
      </w:tblPr>
      <w:tblGrid>
        <w:gridCol w:w="817"/>
        <w:gridCol w:w="1094"/>
        <w:gridCol w:w="6878"/>
      </w:tblGrid>
      <w:tr w:rsidR="004B7F69" w14:paraId="176A848A" w14:textId="77777777" w:rsidTr="004B7F69">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28CF8F6D" w14:textId="4439ED90" w:rsidR="004B7F69" w:rsidRDefault="004B7F69" w:rsidP="004B7F69">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Band </w:t>
            </w:r>
          </w:p>
        </w:tc>
        <w:tc>
          <w:tcPr>
            <w:tcW w:w="109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BE122D" w14:textId="7D5B7457" w:rsidR="004B7F69" w:rsidRDefault="004B7F69" w:rsidP="004B7F69">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Amount</w:t>
            </w:r>
          </w:p>
        </w:tc>
        <w:tc>
          <w:tcPr>
            <w:tcW w:w="687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FCC306C" w14:textId="5DD71647" w:rsidR="004B7F69" w:rsidRDefault="004B7F69" w:rsidP="004B7F69">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Electorates </w:t>
            </w:r>
          </w:p>
        </w:tc>
      </w:tr>
      <w:tr w:rsidR="00B31CA2" w14:paraId="7EFE437B" w14:textId="77777777" w:rsidTr="004B7F69">
        <w:trPr>
          <w:cantSplit/>
          <w:trHeight w:val="376"/>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6C6B6BC9" w14:textId="62ECAF5F" w:rsidR="00B31CA2" w:rsidRDefault="00B31CA2" w:rsidP="00B31CA2">
            <w:pPr>
              <w:keepNext/>
              <w:keepLines/>
              <w:jc w:val="center"/>
              <w:rPr>
                <w:rFonts w:ascii="Arial" w:eastAsia="Times New Roman" w:hAnsi="Arial" w:cs="Arial"/>
                <w:color w:val="000000"/>
              </w:rPr>
            </w:pPr>
            <w:r>
              <w:rPr>
                <w:rFonts w:ascii="Arial" w:eastAsia="Times New Roman" w:hAnsi="Arial" w:cs="Arial"/>
                <w:color w:val="000000"/>
              </w:rPr>
              <w:t>1</w:t>
            </w:r>
          </w:p>
        </w:tc>
        <w:tc>
          <w:tcPr>
            <w:tcW w:w="1094" w:type="dxa"/>
            <w:tcBorders>
              <w:top w:val="single" w:sz="4" w:space="0" w:color="auto"/>
              <w:left w:val="single" w:sz="4" w:space="0" w:color="auto"/>
              <w:bottom w:val="single" w:sz="4" w:space="0" w:color="auto"/>
              <w:right w:val="single" w:sz="4" w:space="0" w:color="auto"/>
            </w:tcBorders>
            <w:vAlign w:val="center"/>
          </w:tcPr>
          <w:p w14:paraId="7012ED10" w14:textId="6697A19F" w:rsidR="00B31CA2" w:rsidRPr="00B728B4" w:rsidRDefault="00B31CA2" w:rsidP="00B31CA2">
            <w:pPr>
              <w:keepNext/>
              <w:keepLines/>
              <w:jc w:val="center"/>
              <w:rPr>
                <w:rFonts w:ascii="Arial" w:eastAsia="Times New Roman" w:hAnsi="Arial" w:cs="Arial"/>
                <w:color w:val="000000"/>
                <w:sz w:val="20"/>
                <w:szCs w:val="20"/>
              </w:rPr>
            </w:pPr>
            <w:r w:rsidRPr="00B728B4">
              <w:rPr>
                <w:rFonts w:ascii="Arial" w:eastAsia="Times New Roman" w:hAnsi="Arial" w:cs="Arial"/>
                <w:color w:val="000000"/>
                <w:sz w:val="20"/>
                <w:szCs w:val="20"/>
              </w:rPr>
              <w:t>$89,200</w:t>
            </w:r>
          </w:p>
        </w:tc>
        <w:tc>
          <w:tcPr>
            <w:tcW w:w="6878" w:type="dxa"/>
            <w:tcBorders>
              <w:top w:val="single" w:sz="4" w:space="0" w:color="auto"/>
              <w:left w:val="single" w:sz="4" w:space="0" w:color="auto"/>
              <w:bottom w:val="single" w:sz="4" w:space="0" w:color="auto"/>
              <w:right w:val="single" w:sz="4" w:space="0" w:color="auto"/>
            </w:tcBorders>
          </w:tcPr>
          <w:p w14:paraId="211D6026" w14:textId="561C849D" w:rsidR="00B31CA2" w:rsidRPr="00B728B4" w:rsidRDefault="00B31CA2" w:rsidP="00B728B4">
            <w:pPr>
              <w:keepNext/>
              <w:keepLines/>
              <w:jc w:val="both"/>
              <w:rPr>
                <w:rFonts w:ascii="Arial" w:eastAsia="Times New Roman" w:hAnsi="Arial" w:cs="Arial"/>
                <w:color w:val="000000"/>
                <w:sz w:val="20"/>
                <w:szCs w:val="20"/>
              </w:rPr>
            </w:pPr>
            <w:r w:rsidRPr="00B728B4">
              <w:rPr>
                <w:rFonts w:ascii="Arial" w:eastAsia="Times New Roman" w:hAnsi="Arial" w:cs="Arial"/>
                <w:color w:val="000000"/>
                <w:sz w:val="20"/>
                <w:szCs w:val="20"/>
              </w:rPr>
              <w:t>Gaven, Gladstone, Ipswich, Mundingburra, Oodgeroo, Stretton, Toohey, Waterford</w:t>
            </w:r>
          </w:p>
        </w:tc>
      </w:tr>
      <w:tr w:rsidR="00B31CA2" w14:paraId="66465946" w14:textId="77777777" w:rsidTr="004B7F69">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7B6FAFEE" w14:textId="2D10AB9A" w:rsidR="00B31CA2" w:rsidRDefault="00B31CA2" w:rsidP="00B31CA2">
            <w:pPr>
              <w:keepNext/>
              <w:keepLines/>
              <w:jc w:val="center"/>
              <w:rPr>
                <w:rFonts w:ascii="Arial" w:eastAsia="Times New Roman" w:hAnsi="Arial" w:cs="Arial"/>
                <w:color w:val="000000"/>
              </w:rPr>
            </w:pPr>
            <w:r>
              <w:rPr>
                <w:rFonts w:ascii="Arial" w:eastAsia="Times New Roman" w:hAnsi="Arial" w:cs="Arial"/>
                <w:color w:val="000000"/>
              </w:rPr>
              <w:t>2</w:t>
            </w:r>
          </w:p>
        </w:tc>
        <w:tc>
          <w:tcPr>
            <w:tcW w:w="1094" w:type="dxa"/>
            <w:tcBorders>
              <w:top w:val="single" w:sz="4" w:space="0" w:color="auto"/>
              <w:left w:val="single" w:sz="4" w:space="0" w:color="auto"/>
              <w:bottom w:val="single" w:sz="4" w:space="0" w:color="auto"/>
              <w:right w:val="single" w:sz="4" w:space="0" w:color="auto"/>
            </w:tcBorders>
            <w:vAlign w:val="center"/>
          </w:tcPr>
          <w:p w14:paraId="06BD2D2F" w14:textId="62202B80" w:rsidR="00B31CA2" w:rsidRPr="00B728B4" w:rsidRDefault="00B31CA2" w:rsidP="00B31CA2">
            <w:pPr>
              <w:keepNext/>
              <w:keepLines/>
              <w:jc w:val="center"/>
              <w:rPr>
                <w:rFonts w:ascii="Arial" w:eastAsia="Times New Roman" w:hAnsi="Arial" w:cs="Arial"/>
                <w:color w:val="000000"/>
                <w:sz w:val="20"/>
                <w:szCs w:val="20"/>
              </w:rPr>
            </w:pPr>
            <w:r w:rsidRPr="00B728B4">
              <w:rPr>
                <w:rFonts w:ascii="Arial" w:eastAsia="Times New Roman" w:hAnsi="Arial" w:cs="Arial"/>
                <w:color w:val="000000"/>
                <w:sz w:val="20"/>
                <w:szCs w:val="20"/>
              </w:rPr>
              <w:t>$90,900</w:t>
            </w:r>
          </w:p>
        </w:tc>
        <w:tc>
          <w:tcPr>
            <w:tcW w:w="6878" w:type="dxa"/>
            <w:tcBorders>
              <w:top w:val="single" w:sz="4" w:space="0" w:color="auto"/>
              <w:left w:val="single" w:sz="4" w:space="0" w:color="auto"/>
              <w:bottom w:val="single" w:sz="4" w:space="0" w:color="auto"/>
              <w:right w:val="single" w:sz="4" w:space="0" w:color="auto"/>
            </w:tcBorders>
          </w:tcPr>
          <w:p w14:paraId="227B10F5" w14:textId="1F184C69" w:rsidR="00B31CA2" w:rsidRPr="00B728B4" w:rsidRDefault="00B31CA2" w:rsidP="00B728B4">
            <w:pPr>
              <w:keepNext/>
              <w:keepLines/>
              <w:jc w:val="both"/>
              <w:rPr>
                <w:rFonts w:ascii="Arial" w:eastAsia="Times New Roman" w:hAnsi="Arial" w:cs="Arial"/>
                <w:color w:val="000000"/>
                <w:sz w:val="20"/>
                <w:szCs w:val="20"/>
              </w:rPr>
            </w:pPr>
            <w:r w:rsidRPr="00B728B4">
              <w:rPr>
                <w:rFonts w:ascii="Arial" w:eastAsia="Times New Roman" w:hAnsi="Arial" w:cs="Arial"/>
                <w:color w:val="000000"/>
                <w:sz w:val="20"/>
                <w:szCs w:val="20"/>
              </w:rPr>
              <w:t xml:space="preserve">Algester, Broadwater, Bundaberg, Burleigh, Capalaba, Chatsworth, Ferny Grove, Glass House, Hinchinbrook, Inala, Ipswich West, Lockyer, Mansfield, Mermaid Beach, Miller, Mirani, Moggill, Mount Ommaney, Mulgrave, Nicklin, Southport, Springwood, Theodore, Thuringowa, Townsville, Whitsunday </w:t>
            </w:r>
          </w:p>
        </w:tc>
      </w:tr>
      <w:tr w:rsidR="00B31CA2" w14:paraId="1A4B4EC7" w14:textId="77777777" w:rsidTr="004B7F69">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33DBBD34" w14:textId="7393EF7C" w:rsidR="00B31CA2" w:rsidRDefault="00B31CA2" w:rsidP="00B31CA2">
            <w:pPr>
              <w:keepNext/>
              <w:keepLines/>
              <w:jc w:val="center"/>
              <w:rPr>
                <w:rFonts w:ascii="Arial" w:eastAsia="Times New Roman" w:hAnsi="Arial" w:cs="Arial"/>
                <w:color w:val="000000"/>
              </w:rPr>
            </w:pPr>
            <w:r>
              <w:rPr>
                <w:rFonts w:ascii="Arial" w:eastAsia="Times New Roman" w:hAnsi="Arial" w:cs="Arial"/>
                <w:color w:val="000000"/>
              </w:rPr>
              <w:t>3</w:t>
            </w:r>
          </w:p>
        </w:tc>
        <w:tc>
          <w:tcPr>
            <w:tcW w:w="1094" w:type="dxa"/>
            <w:tcBorders>
              <w:top w:val="single" w:sz="4" w:space="0" w:color="auto"/>
              <w:left w:val="single" w:sz="4" w:space="0" w:color="auto"/>
              <w:bottom w:val="single" w:sz="4" w:space="0" w:color="auto"/>
              <w:right w:val="single" w:sz="4" w:space="0" w:color="auto"/>
            </w:tcBorders>
            <w:vAlign w:val="center"/>
          </w:tcPr>
          <w:p w14:paraId="0FF64784" w14:textId="0731A612" w:rsidR="00B31CA2" w:rsidRPr="00B728B4" w:rsidRDefault="00B31CA2" w:rsidP="00B31CA2">
            <w:pPr>
              <w:keepNext/>
              <w:keepLines/>
              <w:jc w:val="center"/>
              <w:rPr>
                <w:rFonts w:ascii="Arial" w:eastAsia="Times New Roman" w:hAnsi="Arial" w:cs="Arial"/>
                <w:color w:val="000000"/>
                <w:sz w:val="20"/>
                <w:szCs w:val="20"/>
              </w:rPr>
            </w:pPr>
            <w:r w:rsidRPr="00B728B4">
              <w:rPr>
                <w:rFonts w:ascii="Arial" w:eastAsia="Times New Roman" w:hAnsi="Arial" w:cs="Arial"/>
                <w:color w:val="000000"/>
                <w:sz w:val="20"/>
                <w:szCs w:val="20"/>
              </w:rPr>
              <w:t>$93,400</w:t>
            </w:r>
          </w:p>
        </w:tc>
        <w:tc>
          <w:tcPr>
            <w:tcW w:w="6878" w:type="dxa"/>
            <w:tcBorders>
              <w:top w:val="single" w:sz="4" w:space="0" w:color="auto"/>
              <w:left w:val="single" w:sz="4" w:space="0" w:color="auto"/>
              <w:bottom w:val="single" w:sz="4" w:space="0" w:color="auto"/>
              <w:right w:val="single" w:sz="4" w:space="0" w:color="auto"/>
            </w:tcBorders>
          </w:tcPr>
          <w:p w14:paraId="76223B56" w14:textId="023815AA" w:rsidR="00B31CA2" w:rsidRPr="00B728B4" w:rsidRDefault="00B31CA2" w:rsidP="00B728B4">
            <w:pPr>
              <w:keepNext/>
              <w:keepLines/>
              <w:jc w:val="both"/>
              <w:rPr>
                <w:rFonts w:ascii="Arial" w:eastAsia="Times New Roman" w:hAnsi="Arial" w:cs="Arial"/>
                <w:color w:val="000000"/>
                <w:sz w:val="20"/>
                <w:szCs w:val="20"/>
              </w:rPr>
            </w:pPr>
            <w:r w:rsidRPr="00B728B4">
              <w:rPr>
                <w:rFonts w:ascii="Arial" w:eastAsia="Times New Roman" w:hAnsi="Arial" w:cs="Arial"/>
                <w:color w:val="000000"/>
                <w:sz w:val="20"/>
                <w:szCs w:val="20"/>
              </w:rPr>
              <w:t>Aspley, Bancroft, Bonney, Buderim, Burdekin, Burnett, Cairns, Callide, Cooper, Currumbin, Everton, Greenslopes, Kawana, Keppel, Kurwongbah, Lytton, Macalister, Maroochydore, Morayfield, Nanango, Noosa, Nudgee, Rockhampton, Sandgate, Southern Downs, Surfers Paradise, Toowoomba North, Toowoomba South, Woodridge</w:t>
            </w:r>
          </w:p>
        </w:tc>
      </w:tr>
      <w:tr w:rsidR="00B31CA2" w14:paraId="5F0DE317" w14:textId="77777777" w:rsidTr="004B7F69">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5619D792" w14:textId="0D575F43" w:rsidR="00B31CA2" w:rsidRDefault="00B31CA2" w:rsidP="00B31CA2">
            <w:pPr>
              <w:keepNext/>
              <w:keepLines/>
              <w:jc w:val="center"/>
              <w:rPr>
                <w:rFonts w:ascii="Arial" w:eastAsia="Times New Roman" w:hAnsi="Arial" w:cs="Arial"/>
                <w:color w:val="000000"/>
              </w:rPr>
            </w:pPr>
            <w:r>
              <w:rPr>
                <w:rFonts w:ascii="Arial" w:eastAsia="Times New Roman" w:hAnsi="Arial" w:cs="Arial"/>
                <w:color w:val="000000"/>
              </w:rPr>
              <w:t>4</w:t>
            </w:r>
          </w:p>
        </w:tc>
        <w:tc>
          <w:tcPr>
            <w:tcW w:w="1094" w:type="dxa"/>
            <w:tcBorders>
              <w:top w:val="single" w:sz="4" w:space="0" w:color="auto"/>
              <w:left w:val="single" w:sz="4" w:space="0" w:color="auto"/>
              <w:bottom w:val="single" w:sz="4" w:space="0" w:color="auto"/>
              <w:right w:val="single" w:sz="4" w:space="0" w:color="auto"/>
            </w:tcBorders>
            <w:vAlign w:val="center"/>
          </w:tcPr>
          <w:p w14:paraId="386FED7B" w14:textId="16BCA87B" w:rsidR="00B31CA2" w:rsidRPr="00B728B4" w:rsidRDefault="00B31CA2" w:rsidP="00B31CA2">
            <w:pPr>
              <w:keepNext/>
              <w:keepLines/>
              <w:jc w:val="center"/>
              <w:rPr>
                <w:rFonts w:ascii="Arial" w:eastAsia="Times New Roman" w:hAnsi="Arial" w:cs="Arial"/>
                <w:color w:val="000000"/>
                <w:sz w:val="20"/>
                <w:szCs w:val="20"/>
              </w:rPr>
            </w:pPr>
            <w:r w:rsidRPr="00B728B4">
              <w:rPr>
                <w:rFonts w:ascii="Arial" w:eastAsia="Times New Roman" w:hAnsi="Arial" w:cs="Arial"/>
                <w:color w:val="000000"/>
                <w:sz w:val="20"/>
                <w:szCs w:val="20"/>
              </w:rPr>
              <w:t>$95,200</w:t>
            </w:r>
          </w:p>
        </w:tc>
        <w:tc>
          <w:tcPr>
            <w:tcW w:w="6878" w:type="dxa"/>
            <w:tcBorders>
              <w:top w:val="single" w:sz="4" w:space="0" w:color="auto"/>
              <w:left w:val="single" w:sz="4" w:space="0" w:color="auto"/>
              <w:bottom w:val="single" w:sz="4" w:space="0" w:color="auto"/>
              <w:right w:val="single" w:sz="4" w:space="0" w:color="auto"/>
            </w:tcBorders>
          </w:tcPr>
          <w:p w14:paraId="38F661AC" w14:textId="3CA3D31B" w:rsidR="00B31CA2" w:rsidRPr="00B728B4" w:rsidRDefault="00B31CA2" w:rsidP="00B728B4">
            <w:pPr>
              <w:keepNext/>
              <w:keepLines/>
              <w:jc w:val="both"/>
              <w:rPr>
                <w:rFonts w:ascii="Arial" w:eastAsia="Times New Roman" w:hAnsi="Arial" w:cs="Arial"/>
                <w:color w:val="000000"/>
                <w:sz w:val="20"/>
                <w:szCs w:val="20"/>
              </w:rPr>
            </w:pPr>
            <w:r w:rsidRPr="00B728B4">
              <w:rPr>
                <w:rFonts w:ascii="Arial" w:eastAsia="Times New Roman" w:hAnsi="Arial" w:cs="Arial"/>
                <w:color w:val="000000"/>
                <w:sz w:val="20"/>
                <w:szCs w:val="20"/>
              </w:rPr>
              <w:t>Barron River, Bulimba, Bundamba, Caloundra, Clayfield, Condamine, Cook, Coomera, Gregory, Gympie, Hervey Bay, Hill, Jordan, Logan, Mackay, Maiwar, Maryborough, McConnel, Mudgeeraba, Murrumba, Ninderry, Pine Rivers, Pumicestone, Redcliffe, Redlands, Scenic Rim, South Brisbane, Stafford, Traeger, Warrego</w:t>
            </w:r>
          </w:p>
        </w:tc>
      </w:tr>
    </w:tbl>
    <w:p w14:paraId="312AF1F2" w14:textId="50C20EB2" w:rsidR="0045097D" w:rsidRPr="002B1B60" w:rsidRDefault="00D44AA2" w:rsidP="00BC3474">
      <w:pPr>
        <w:pStyle w:val="ListParagraph"/>
        <w:numPr>
          <w:ilvl w:val="0"/>
          <w:numId w:val="51"/>
        </w:numPr>
        <w:spacing w:before="200" w:after="120" w:line="257" w:lineRule="auto"/>
        <w:ind w:left="567" w:hanging="567"/>
        <w:contextualSpacing w:val="0"/>
        <w:rPr>
          <w:rFonts w:ascii="Arial" w:hAnsi="Arial" w:cs="Arial"/>
          <w:bCs/>
        </w:rPr>
      </w:pPr>
      <w:r w:rsidRPr="002B1B60">
        <w:rPr>
          <w:rFonts w:ascii="Arial" w:hAnsi="Arial" w:cs="Arial"/>
          <w:bCs/>
        </w:rPr>
        <w:t xml:space="preserve">The Tribunal determined that Members are to receive </w:t>
      </w:r>
      <w:r w:rsidR="00DD647E" w:rsidRPr="002B1B60">
        <w:rPr>
          <w:rFonts w:ascii="Arial" w:hAnsi="Arial" w:cs="Arial"/>
          <w:bCs/>
        </w:rPr>
        <w:t xml:space="preserve">a high enrolment supplement </w:t>
      </w:r>
      <w:r w:rsidR="0045097D" w:rsidRPr="002B1B60">
        <w:rPr>
          <w:rFonts w:ascii="Arial" w:hAnsi="Arial" w:cs="Arial"/>
          <w:bCs/>
        </w:rPr>
        <w:t xml:space="preserve">in ECA </w:t>
      </w:r>
      <w:r w:rsidR="00DD647E" w:rsidRPr="002B1B60">
        <w:rPr>
          <w:rFonts w:ascii="Arial" w:hAnsi="Arial" w:cs="Arial"/>
          <w:bCs/>
        </w:rPr>
        <w:t xml:space="preserve">of </w:t>
      </w:r>
      <w:r w:rsidRPr="002B1B60">
        <w:rPr>
          <w:rFonts w:ascii="Arial" w:hAnsi="Arial" w:cs="Arial"/>
          <w:bCs/>
        </w:rPr>
        <w:t xml:space="preserve">$2,500 per </w:t>
      </w:r>
      <w:r w:rsidR="0045097D" w:rsidRPr="002B1B60">
        <w:rPr>
          <w:rFonts w:ascii="Arial" w:hAnsi="Arial" w:cs="Arial"/>
          <w:bCs/>
        </w:rPr>
        <w:t>financial year</w:t>
      </w:r>
      <w:r w:rsidRPr="002B1B60">
        <w:rPr>
          <w:rFonts w:ascii="Arial" w:hAnsi="Arial" w:cs="Arial"/>
          <w:bCs/>
        </w:rPr>
        <w:t xml:space="preserve"> </w:t>
      </w:r>
      <w:r w:rsidR="006058A4" w:rsidRPr="002B1B60">
        <w:rPr>
          <w:rFonts w:ascii="Arial" w:hAnsi="Arial" w:cs="Arial"/>
          <w:bCs/>
        </w:rPr>
        <w:t>if</w:t>
      </w:r>
      <w:r w:rsidR="0045097D" w:rsidRPr="002B1B60">
        <w:rPr>
          <w:rFonts w:ascii="Arial" w:hAnsi="Arial" w:cs="Arial"/>
          <w:bCs/>
        </w:rPr>
        <w:t>:</w:t>
      </w:r>
    </w:p>
    <w:p w14:paraId="57909732" w14:textId="3B9BB66D" w:rsidR="0045097D" w:rsidRPr="002B1B60" w:rsidRDefault="0045097D" w:rsidP="00BC3474">
      <w:pPr>
        <w:pStyle w:val="ListParagraph"/>
        <w:numPr>
          <w:ilvl w:val="0"/>
          <w:numId w:val="120"/>
        </w:numPr>
        <w:spacing w:before="200" w:after="200" w:line="276" w:lineRule="auto"/>
        <w:ind w:left="1134"/>
        <w:jc w:val="both"/>
        <w:rPr>
          <w:rFonts w:ascii="Arial" w:hAnsi="Arial" w:cs="Arial"/>
          <w:bCs/>
        </w:rPr>
      </w:pPr>
      <w:r w:rsidRPr="002B1B60">
        <w:rPr>
          <w:rFonts w:ascii="Arial" w:hAnsi="Arial" w:cs="Arial"/>
          <w:bCs/>
        </w:rPr>
        <w:t>the electorate is in ECA Band 4; and</w:t>
      </w:r>
    </w:p>
    <w:p w14:paraId="6105418A" w14:textId="6F0185CC" w:rsidR="0045097D" w:rsidRPr="002B1B60" w:rsidRDefault="0045097D" w:rsidP="0026091B">
      <w:pPr>
        <w:pStyle w:val="ListParagraph"/>
        <w:numPr>
          <w:ilvl w:val="0"/>
          <w:numId w:val="120"/>
        </w:numPr>
        <w:spacing w:before="200" w:after="200" w:line="276" w:lineRule="auto"/>
        <w:ind w:left="1134" w:hanging="357"/>
        <w:contextualSpacing w:val="0"/>
        <w:jc w:val="both"/>
        <w:rPr>
          <w:rFonts w:ascii="Arial" w:hAnsi="Arial" w:cs="Arial"/>
          <w:bCs/>
        </w:rPr>
      </w:pPr>
      <w:r w:rsidRPr="002B1B60">
        <w:rPr>
          <w:rFonts w:ascii="Arial" w:hAnsi="Arial" w:cs="Arial"/>
          <w:bCs/>
        </w:rPr>
        <w:t xml:space="preserve">the number of electors is 25% or more above the quota, over a period of six consecutive months, determined in accordance with the ECQ monthly enrolment data (the high enrolment supplement criteria). </w:t>
      </w:r>
    </w:p>
    <w:p w14:paraId="21B025F3" w14:textId="658DE6C6" w:rsidR="0045097D" w:rsidRPr="002B1B60" w:rsidRDefault="0045097D" w:rsidP="00BC3474">
      <w:pPr>
        <w:pStyle w:val="ListParagraph"/>
        <w:numPr>
          <w:ilvl w:val="0"/>
          <w:numId w:val="51"/>
        </w:numPr>
        <w:spacing w:before="200" w:after="200" w:line="257" w:lineRule="auto"/>
        <w:ind w:left="567" w:hanging="567"/>
        <w:contextualSpacing w:val="0"/>
        <w:rPr>
          <w:rFonts w:ascii="Arial" w:hAnsi="Arial" w:cs="Arial"/>
          <w:bCs/>
        </w:rPr>
      </w:pPr>
      <w:r w:rsidRPr="002B1B60">
        <w:rPr>
          <w:rFonts w:ascii="Arial" w:hAnsi="Arial" w:cs="Arial"/>
          <w:bCs/>
        </w:rPr>
        <w:t xml:space="preserve">ECA </w:t>
      </w:r>
      <w:proofErr w:type="gramStart"/>
      <w:r w:rsidRPr="002B1B60">
        <w:rPr>
          <w:rFonts w:ascii="Arial" w:hAnsi="Arial" w:cs="Arial"/>
          <w:bCs/>
        </w:rPr>
        <w:t>is paid</w:t>
      </w:r>
      <w:proofErr w:type="gramEnd"/>
      <w:r w:rsidRPr="002B1B60">
        <w:rPr>
          <w:rFonts w:ascii="Arial" w:hAnsi="Arial" w:cs="Arial"/>
          <w:bCs/>
        </w:rPr>
        <w:t xml:space="preserve"> in two instalments annually – in July and January. Members whose electorates have met the high enrolment supplement criteria in the preceding 6 months will receive a pro-rata payment of the additional funding ($1250) in their half yearly instalment</w:t>
      </w:r>
      <w:r w:rsidR="00C03086" w:rsidRPr="002B1B60">
        <w:rPr>
          <w:rFonts w:ascii="Arial" w:hAnsi="Arial" w:cs="Arial"/>
          <w:bCs/>
        </w:rPr>
        <w:t xml:space="preserve">. </w:t>
      </w:r>
    </w:p>
    <w:p w14:paraId="462C0565" w14:textId="03D83BD7" w:rsidR="000C4360" w:rsidRPr="002B1B60" w:rsidRDefault="000C4360" w:rsidP="000C4360">
      <w:pPr>
        <w:pStyle w:val="ListParagraph"/>
        <w:numPr>
          <w:ilvl w:val="0"/>
          <w:numId w:val="51"/>
        </w:numPr>
        <w:spacing w:before="200" w:after="200" w:line="257" w:lineRule="auto"/>
        <w:ind w:left="567" w:hanging="567"/>
        <w:contextualSpacing w:val="0"/>
        <w:rPr>
          <w:rFonts w:ascii="Arial" w:hAnsi="Arial" w:cs="Arial"/>
          <w:bCs/>
        </w:rPr>
      </w:pPr>
      <w:r w:rsidRPr="002B1B60">
        <w:rPr>
          <w:rFonts w:ascii="Arial" w:hAnsi="Arial" w:cs="Arial"/>
          <w:bCs/>
        </w:rPr>
        <w:t xml:space="preserve">The Tribunal’s decision for the payment of the high enrolment supplement is to take effect from 1 July 2022, </w:t>
      </w:r>
      <w:proofErr w:type="gramStart"/>
      <w:r w:rsidRPr="002B1B60">
        <w:rPr>
          <w:rFonts w:ascii="Arial" w:hAnsi="Arial" w:cs="Arial"/>
          <w:bCs/>
        </w:rPr>
        <w:t>with the exception of</w:t>
      </w:r>
      <w:proofErr w:type="gramEnd"/>
      <w:r w:rsidRPr="002B1B60">
        <w:rPr>
          <w:rFonts w:ascii="Arial" w:hAnsi="Arial" w:cs="Arial"/>
          <w:bCs/>
        </w:rPr>
        <w:t xml:space="preserve"> the Member for Coomera who is </w:t>
      </w:r>
      <w:r w:rsidR="00921F19">
        <w:rPr>
          <w:rFonts w:ascii="Arial" w:hAnsi="Arial" w:cs="Arial"/>
          <w:bCs/>
        </w:rPr>
        <w:t xml:space="preserve">to </w:t>
      </w:r>
      <w:r w:rsidRPr="002B1B60">
        <w:rPr>
          <w:rFonts w:ascii="Arial" w:hAnsi="Arial" w:cs="Arial"/>
          <w:bCs/>
        </w:rPr>
        <w:t>receive an additional ECA of $2,500 per annum for the 2021/22 financial year.</w:t>
      </w:r>
    </w:p>
    <w:p w14:paraId="15F76A5A" w14:textId="0613D918" w:rsidR="00BA046F" w:rsidRPr="002B1B60" w:rsidRDefault="00F50738" w:rsidP="00B41922">
      <w:pPr>
        <w:pStyle w:val="Subtitle"/>
        <w:spacing w:before="200" w:after="200" w:line="257" w:lineRule="auto"/>
        <w:rPr>
          <w:rFonts w:ascii="Arial" w:hAnsi="Arial" w:cs="Arial"/>
          <w:sz w:val="22"/>
          <w:szCs w:val="22"/>
        </w:rPr>
      </w:pPr>
      <w:r w:rsidRPr="002B1B60">
        <w:rPr>
          <w:rFonts w:ascii="Arial" w:hAnsi="Arial" w:cs="Arial"/>
          <w:sz w:val="22"/>
          <w:szCs w:val="22"/>
        </w:rPr>
        <w:t>Transition Allowance</w:t>
      </w:r>
    </w:p>
    <w:p w14:paraId="6E10633A" w14:textId="4B8AE6BD" w:rsidR="003B2572" w:rsidRPr="002B1B60" w:rsidRDefault="003B2572" w:rsidP="00BC3474">
      <w:pPr>
        <w:pStyle w:val="ListParagraph"/>
        <w:numPr>
          <w:ilvl w:val="0"/>
          <w:numId w:val="51"/>
        </w:numPr>
        <w:spacing w:before="200" w:after="200" w:line="257" w:lineRule="auto"/>
        <w:ind w:left="567" w:hanging="567"/>
        <w:contextualSpacing w:val="0"/>
        <w:rPr>
          <w:rFonts w:ascii="Arial" w:hAnsi="Arial" w:cs="Arial"/>
          <w:bCs/>
        </w:rPr>
      </w:pPr>
      <w:r w:rsidRPr="002B1B60">
        <w:rPr>
          <w:rFonts w:ascii="Arial" w:hAnsi="Arial" w:cs="Arial"/>
          <w:bCs/>
        </w:rPr>
        <w:t>The Tribunal determined through a majority decision, not to extend the Transition Allowance to Members who retire voluntarily.</w:t>
      </w:r>
    </w:p>
    <w:p w14:paraId="1D75B643" w14:textId="77777777" w:rsidR="007F3254" w:rsidRDefault="007F3254">
      <w:pPr>
        <w:spacing w:after="160" w:line="259" w:lineRule="auto"/>
        <w:rPr>
          <w:rFonts w:ascii="Arial" w:hAnsi="Arial" w:cs="Arial"/>
          <w:bCs/>
          <w:i/>
          <w:iCs/>
          <w:color w:val="4F81BD"/>
          <w:spacing w:val="15"/>
          <w:sz w:val="24"/>
          <w:szCs w:val="24"/>
        </w:rPr>
      </w:pPr>
      <w:r>
        <w:rPr>
          <w:rFonts w:ascii="Arial" w:hAnsi="Arial" w:cs="Arial"/>
          <w:bCs/>
        </w:rPr>
        <w:br w:type="page"/>
      </w:r>
    </w:p>
    <w:p w14:paraId="22A4ABED" w14:textId="77777777" w:rsidR="001F3388" w:rsidRPr="002B1B60" w:rsidRDefault="001F3388" w:rsidP="001F3388">
      <w:pPr>
        <w:pStyle w:val="Subtitle"/>
        <w:spacing w:before="200" w:after="200" w:line="257" w:lineRule="auto"/>
        <w:rPr>
          <w:rFonts w:ascii="Arial" w:hAnsi="Arial" w:cs="Arial"/>
          <w:sz w:val="22"/>
          <w:szCs w:val="22"/>
        </w:rPr>
      </w:pPr>
      <w:r w:rsidRPr="002B1B60">
        <w:rPr>
          <w:rFonts w:ascii="Arial" w:hAnsi="Arial" w:cs="Arial"/>
          <w:sz w:val="22"/>
          <w:szCs w:val="22"/>
        </w:rPr>
        <w:lastRenderedPageBreak/>
        <w:t>Additional allocation of staff for cross bench Members</w:t>
      </w:r>
    </w:p>
    <w:p w14:paraId="719F154D" w14:textId="041F6AA6" w:rsidR="00392AFD" w:rsidRPr="002B1B60" w:rsidRDefault="00392AFD" w:rsidP="00BC3474">
      <w:pPr>
        <w:pStyle w:val="ListParagraph"/>
        <w:numPr>
          <w:ilvl w:val="0"/>
          <w:numId w:val="51"/>
        </w:numPr>
        <w:spacing w:before="200" w:after="200" w:line="257" w:lineRule="auto"/>
        <w:ind w:left="567" w:hanging="567"/>
        <w:contextualSpacing w:val="0"/>
        <w:rPr>
          <w:rFonts w:ascii="Arial" w:hAnsi="Arial" w:cs="Arial"/>
          <w:bCs/>
        </w:rPr>
      </w:pPr>
      <w:r w:rsidRPr="002B1B60">
        <w:rPr>
          <w:rFonts w:ascii="Arial" w:hAnsi="Arial" w:cs="Arial"/>
          <w:bCs/>
        </w:rPr>
        <w:t xml:space="preserve">The Tribunal determined that the staffing allocation for </w:t>
      </w:r>
      <w:r w:rsidR="00671556" w:rsidRPr="002B1B60">
        <w:rPr>
          <w:rFonts w:ascii="Arial" w:hAnsi="Arial" w:cs="Arial"/>
          <w:bCs/>
        </w:rPr>
        <w:t xml:space="preserve">cross </w:t>
      </w:r>
      <w:r w:rsidRPr="002B1B60">
        <w:rPr>
          <w:rFonts w:ascii="Arial" w:hAnsi="Arial" w:cs="Arial"/>
          <w:bCs/>
        </w:rPr>
        <w:t>bench members</w:t>
      </w:r>
      <w:r w:rsidR="00671556" w:rsidRPr="002B1B60">
        <w:rPr>
          <w:rFonts w:ascii="Arial" w:hAnsi="Arial" w:cs="Arial"/>
          <w:bCs/>
        </w:rPr>
        <w:t xml:space="preserve"> increase </w:t>
      </w:r>
      <w:r w:rsidRPr="002B1B60">
        <w:rPr>
          <w:rFonts w:ascii="Arial" w:hAnsi="Arial" w:cs="Arial"/>
          <w:bCs/>
        </w:rPr>
        <w:t>from</w:t>
      </w:r>
      <w:r w:rsidR="003D4A04" w:rsidRPr="002B1B60">
        <w:rPr>
          <w:rFonts w:ascii="Arial" w:hAnsi="Arial" w:cs="Arial"/>
          <w:bCs/>
        </w:rPr>
        <w:t xml:space="preserve"> the current allocation of</w:t>
      </w:r>
      <w:r w:rsidRPr="002B1B60">
        <w:rPr>
          <w:rFonts w:ascii="Arial" w:hAnsi="Arial" w:cs="Arial"/>
          <w:bCs/>
        </w:rPr>
        <w:t xml:space="preserve"> 0.5 full time equivalent </w:t>
      </w:r>
      <w:r w:rsidR="003D4A04" w:rsidRPr="002B1B60">
        <w:rPr>
          <w:rFonts w:ascii="Arial" w:hAnsi="Arial" w:cs="Arial"/>
          <w:bCs/>
        </w:rPr>
        <w:t xml:space="preserve">(FTE) </w:t>
      </w:r>
      <w:r w:rsidR="004856C5" w:rsidRPr="002B1B60">
        <w:rPr>
          <w:rFonts w:ascii="Arial" w:hAnsi="Arial" w:cs="Arial"/>
          <w:bCs/>
        </w:rPr>
        <w:t xml:space="preserve">for a </w:t>
      </w:r>
      <w:r w:rsidRPr="002B1B60">
        <w:rPr>
          <w:rFonts w:ascii="Arial" w:hAnsi="Arial" w:cs="Arial"/>
          <w:bCs/>
        </w:rPr>
        <w:t xml:space="preserve">Parliamentary Policy </w:t>
      </w:r>
      <w:r w:rsidR="00F75CC6" w:rsidRPr="002B1B60">
        <w:rPr>
          <w:rFonts w:ascii="Arial" w:hAnsi="Arial" w:cs="Arial"/>
          <w:bCs/>
        </w:rPr>
        <w:t>Officer position,</w:t>
      </w:r>
      <w:r w:rsidRPr="002B1B60">
        <w:rPr>
          <w:rFonts w:ascii="Arial" w:hAnsi="Arial" w:cs="Arial"/>
          <w:bCs/>
        </w:rPr>
        <w:t xml:space="preserve"> </w:t>
      </w:r>
      <w:r w:rsidR="003D4A04" w:rsidRPr="002B1B60">
        <w:rPr>
          <w:rFonts w:ascii="Arial" w:hAnsi="Arial" w:cs="Arial"/>
          <w:bCs/>
        </w:rPr>
        <w:t>to one (1</w:t>
      </w:r>
      <w:r w:rsidR="00C00AD6" w:rsidRPr="002B1B60">
        <w:rPr>
          <w:rFonts w:ascii="Arial" w:hAnsi="Arial" w:cs="Arial"/>
          <w:bCs/>
        </w:rPr>
        <w:t>.0</w:t>
      </w:r>
      <w:r w:rsidR="003D4A04" w:rsidRPr="002B1B60">
        <w:rPr>
          <w:rFonts w:ascii="Arial" w:hAnsi="Arial" w:cs="Arial"/>
          <w:bCs/>
        </w:rPr>
        <w:t>) FTE</w:t>
      </w:r>
      <w:r w:rsidR="00C00AD6" w:rsidRPr="002B1B60">
        <w:rPr>
          <w:rFonts w:ascii="Arial" w:hAnsi="Arial" w:cs="Arial"/>
          <w:bCs/>
        </w:rPr>
        <w:t xml:space="preserve"> position</w:t>
      </w:r>
      <w:r w:rsidR="003D4A04" w:rsidRPr="002B1B60">
        <w:rPr>
          <w:rFonts w:ascii="Arial" w:hAnsi="Arial" w:cs="Arial"/>
          <w:bCs/>
        </w:rPr>
        <w:t xml:space="preserve">, </w:t>
      </w:r>
      <w:r w:rsidR="00F75CC6" w:rsidRPr="002B1B60">
        <w:rPr>
          <w:rFonts w:ascii="Arial" w:hAnsi="Arial" w:cs="Arial"/>
          <w:bCs/>
        </w:rPr>
        <w:t xml:space="preserve">to be employed </w:t>
      </w:r>
      <w:r w:rsidRPr="002B1B60">
        <w:rPr>
          <w:rFonts w:ascii="Arial" w:hAnsi="Arial" w:cs="Arial"/>
          <w:bCs/>
        </w:rPr>
        <w:t>under the same conditions as detailed in Determination 23/2021.</w:t>
      </w:r>
    </w:p>
    <w:p w14:paraId="5BF09D52" w14:textId="0ED02FC7" w:rsidR="00D934F1" w:rsidRPr="002B1B60" w:rsidRDefault="00392AFD" w:rsidP="00BC3474">
      <w:pPr>
        <w:pStyle w:val="ListParagraph"/>
        <w:numPr>
          <w:ilvl w:val="0"/>
          <w:numId w:val="51"/>
        </w:numPr>
        <w:spacing w:before="200" w:after="200" w:line="257" w:lineRule="auto"/>
        <w:ind w:left="567" w:hanging="567"/>
        <w:contextualSpacing w:val="0"/>
        <w:rPr>
          <w:rFonts w:ascii="Arial" w:hAnsi="Arial" w:cs="Arial"/>
          <w:bCs/>
        </w:rPr>
      </w:pPr>
      <w:r w:rsidRPr="002B1B60">
        <w:rPr>
          <w:rFonts w:ascii="Arial" w:hAnsi="Arial" w:cs="Arial"/>
          <w:bCs/>
        </w:rPr>
        <w:t xml:space="preserve">The Tribunal’s decision for an additional </w:t>
      </w:r>
      <w:r w:rsidR="00921F19" w:rsidRPr="002B1B60">
        <w:rPr>
          <w:rFonts w:ascii="Arial" w:hAnsi="Arial" w:cs="Arial"/>
          <w:bCs/>
        </w:rPr>
        <w:t xml:space="preserve">Parliamentary Policy Officer position </w:t>
      </w:r>
      <w:r w:rsidRPr="002B1B60">
        <w:rPr>
          <w:rFonts w:ascii="Arial" w:hAnsi="Arial" w:cs="Arial"/>
          <w:bCs/>
        </w:rPr>
        <w:t xml:space="preserve">for cross bench members </w:t>
      </w:r>
      <w:r w:rsidR="00BF152E" w:rsidRPr="002B1B60">
        <w:rPr>
          <w:rFonts w:ascii="Arial" w:hAnsi="Arial" w:cs="Arial"/>
          <w:bCs/>
        </w:rPr>
        <w:t xml:space="preserve">is </w:t>
      </w:r>
      <w:r w:rsidRPr="002B1B60">
        <w:rPr>
          <w:rFonts w:ascii="Arial" w:hAnsi="Arial" w:cs="Arial"/>
          <w:bCs/>
        </w:rPr>
        <w:t>to take effect from date of Determination.</w:t>
      </w:r>
    </w:p>
    <w:p w14:paraId="6C22E968" w14:textId="3C90B187" w:rsidR="00232D86" w:rsidRDefault="00232D86" w:rsidP="00B41922">
      <w:pPr>
        <w:pStyle w:val="Subtitle"/>
        <w:spacing w:before="200" w:after="200" w:line="257" w:lineRule="auto"/>
        <w:rPr>
          <w:rFonts w:ascii="Arial" w:hAnsi="Arial" w:cs="Arial"/>
          <w:sz w:val="22"/>
          <w:szCs w:val="22"/>
        </w:rPr>
      </w:pPr>
      <w:r>
        <w:rPr>
          <w:rFonts w:ascii="Arial" w:hAnsi="Arial" w:cs="Arial"/>
          <w:sz w:val="22"/>
          <w:szCs w:val="22"/>
        </w:rPr>
        <w:t xml:space="preserve">Motor Vehicle Allowance </w:t>
      </w:r>
    </w:p>
    <w:p w14:paraId="12612CD3" w14:textId="63E25849" w:rsidR="00232D86" w:rsidRPr="008125D1" w:rsidRDefault="00232D86" w:rsidP="00B41922">
      <w:pPr>
        <w:pStyle w:val="ListParagraph"/>
        <w:numPr>
          <w:ilvl w:val="0"/>
          <w:numId w:val="51"/>
        </w:numPr>
        <w:spacing w:before="200" w:after="200" w:line="257" w:lineRule="auto"/>
        <w:ind w:left="567" w:hanging="567"/>
        <w:contextualSpacing w:val="0"/>
        <w:rPr>
          <w:rFonts w:ascii="Arial" w:eastAsia="Calibri" w:hAnsi="Arial" w:cs="Arial"/>
        </w:rPr>
      </w:pPr>
      <w:r>
        <w:rPr>
          <w:rFonts w:ascii="Arial" w:eastAsia="Calibri" w:hAnsi="Arial" w:cs="Arial"/>
        </w:rPr>
        <w:t>The</w:t>
      </w:r>
      <w:r w:rsidRPr="008125D1">
        <w:rPr>
          <w:rFonts w:ascii="Arial" w:eastAsia="Calibri" w:hAnsi="Arial" w:cs="Arial"/>
        </w:rPr>
        <w:t xml:space="preserve"> Tribunal decided to increase the quantum of the Motor Vehicle Allowance by 2.9%</w:t>
      </w:r>
      <w:r w:rsidR="00AF72EF">
        <w:rPr>
          <w:rFonts w:ascii="Arial" w:eastAsia="Calibri" w:hAnsi="Arial" w:cs="Arial"/>
        </w:rPr>
        <w:t xml:space="preserve"> </w:t>
      </w:r>
      <w:r w:rsidR="00AF72EF" w:rsidRPr="00B41922">
        <w:rPr>
          <w:rFonts w:ascii="Arial" w:hAnsi="Arial" w:cs="Arial"/>
        </w:rPr>
        <w:t>round</w:t>
      </w:r>
      <w:r w:rsidR="00B728B4" w:rsidRPr="00B41922">
        <w:rPr>
          <w:rFonts w:ascii="Arial" w:hAnsi="Arial" w:cs="Arial"/>
        </w:rPr>
        <w:t>ed</w:t>
      </w:r>
      <w:r w:rsidR="00B728B4">
        <w:rPr>
          <w:rFonts w:ascii="Arial" w:eastAsia="Calibri" w:hAnsi="Arial" w:cs="Arial"/>
        </w:rPr>
        <w:t xml:space="preserve"> up</w:t>
      </w:r>
      <w:r w:rsidR="00AF72EF">
        <w:rPr>
          <w:rFonts w:ascii="Arial" w:eastAsia="Calibri" w:hAnsi="Arial" w:cs="Arial"/>
        </w:rPr>
        <w:t xml:space="preserve"> to the </w:t>
      </w:r>
      <w:r w:rsidR="00FF2555" w:rsidRPr="00B41922">
        <w:rPr>
          <w:rFonts w:ascii="Arial" w:hAnsi="Arial" w:cs="Arial"/>
        </w:rPr>
        <w:t>nearest</w:t>
      </w:r>
      <w:r w:rsidR="00AF72EF">
        <w:rPr>
          <w:rFonts w:ascii="Arial" w:eastAsia="Calibri" w:hAnsi="Arial" w:cs="Arial"/>
        </w:rPr>
        <w:t xml:space="preserve"> $100</w:t>
      </w:r>
      <w:r w:rsidR="00FF2555">
        <w:rPr>
          <w:rFonts w:ascii="Arial" w:eastAsia="Calibri" w:hAnsi="Arial" w:cs="Arial"/>
        </w:rPr>
        <w:t>,</w:t>
      </w:r>
      <w:r w:rsidR="0074428F">
        <w:rPr>
          <w:rFonts w:ascii="Arial" w:eastAsia="Calibri" w:hAnsi="Arial" w:cs="Arial"/>
        </w:rPr>
        <w:t xml:space="preserve"> </w:t>
      </w:r>
      <w:r w:rsidRPr="008125D1">
        <w:rPr>
          <w:rFonts w:ascii="Arial" w:eastAsia="Calibri" w:hAnsi="Arial" w:cs="Arial"/>
        </w:rPr>
        <w:t xml:space="preserve">with effect from 1 July 2022. </w:t>
      </w:r>
    </w:p>
    <w:p w14:paraId="0C5E15FD" w14:textId="77777777" w:rsidR="00AF46FA" w:rsidRDefault="00AF46FA" w:rsidP="001C3E14">
      <w:pPr>
        <w:rPr>
          <w:rFonts w:ascii="Arial" w:hAnsi="Arial" w:cs="Arial"/>
          <w:sz w:val="23"/>
          <w:szCs w:val="23"/>
        </w:rPr>
      </w:pPr>
    </w:p>
    <w:p w14:paraId="1F596630" w14:textId="7A03AAE3" w:rsidR="001C3E14" w:rsidRDefault="001C3E14" w:rsidP="001C3E14">
      <w:pPr>
        <w:jc w:val="right"/>
        <w:rPr>
          <w:rFonts w:ascii="Arial" w:hAnsi="Arial" w:cs="Arial"/>
          <w:b/>
          <w:sz w:val="23"/>
          <w:szCs w:val="23"/>
        </w:rPr>
      </w:pPr>
      <w:r>
        <w:rPr>
          <w:rFonts w:ascii="Arial" w:hAnsi="Arial" w:cs="Arial"/>
          <w:b/>
          <w:sz w:val="23"/>
          <w:szCs w:val="23"/>
        </w:rPr>
        <w:t xml:space="preserve">Date of Determination: </w:t>
      </w:r>
      <w:r w:rsidR="001B0485" w:rsidRPr="001B0485">
        <w:rPr>
          <w:rFonts w:ascii="Arial" w:hAnsi="Arial" w:cs="Arial"/>
          <w:bCs/>
          <w:sz w:val="23"/>
          <w:szCs w:val="23"/>
        </w:rPr>
        <w:t>30</w:t>
      </w:r>
      <w:r w:rsidR="0026091B" w:rsidRPr="0026091B">
        <w:rPr>
          <w:rFonts w:ascii="Arial" w:hAnsi="Arial" w:cs="Arial"/>
          <w:bCs/>
          <w:sz w:val="23"/>
          <w:szCs w:val="23"/>
        </w:rPr>
        <w:t xml:space="preserve"> March 2022</w:t>
      </w:r>
      <w:r w:rsidR="00C354D0">
        <w:rPr>
          <w:rFonts w:ascii="Arial" w:hAnsi="Arial" w:cs="Arial"/>
          <w:b/>
          <w:sz w:val="23"/>
          <w:szCs w:val="23"/>
        </w:rPr>
        <w:t xml:space="preserve"> </w:t>
      </w:r>
    </w:p>
    <w:p w14:paraId="43B2141B" w14:textId="2292DAD7" w:rsidR="001C3E14" w:rsidRDefault="001C3E14" w:rsidP="001C3E14">
      <w:pPr>
        <w:jc w:val="right"/>
        <w:rPr>
          <w:rFonts w:ascii="Arial" w:hAnsi="Arial" w:cs="Arial"/>
          <w:b/>
          <w:sz w:val="23"/>
          <w:szCs w:val="23"/>
        </w:rPr>
      </w:pPr>
      <w:r>
        <w:rPr>
          <w:rFonts w:ascii="Arial" w:hAnsi="Arial" w:cs="Arial"/>
          <w:b/>
          <w:sz w:val="23"/>
          <w:szCs w:val="23"/>
        </w:rPr>
        <w:t xml:space="preserve">Effective Date: </w:t>
      </w:r>
      <w:r w:rsidR="00CC66F8" w:rsidRPr="00CC66F8">
        <w:rPr>
          <w:rFonts w:ascii="Arial" w:hAnsi="Arial" w:cs="Arial"/>
          <w:bCs/>
          <w:sz w:val="23"/>
          <w:szCs w:val="23"/>
        </w:rPr>
        <w:t>Various</w:t>
      </w:r>
    </w:p>
    <w:p w14:paraId="22EE1D53" w14:textId="2FBF7842" w:rsidR="00847898" w:rsidRDefault="00847898" w:rsidP="001C3E14">
      <w:pPr>
        <w:jc w:val="right"/>
        <w:rPr>
          <w:rFonts w:ascii="Arial" w:hAnsi="Arial" w:cs="Arial"/>
          <w:b/>
          <w:sz w:val="23"/>
          <w:szCs w:val="23"/>
        </w:rPr>
      </w:pPr>
    </w:p>
    <w:p w14:paraId="21BA3364" w14:textId="67E0A24E" w:rsidR="001C3E14" w:rsidRPr="00B728B4" w:rsidRDefault="001C3E14" w:rsidP="008125D1">
      <w:pPr>
        <w:tabs>
          <w:tab w:val="left" w:pos="1240"/>
        </w:tabs>
        <w:rPr>
          <w:rFonts w:ascii="Arial" w:hAnsi="Arial" w:cs="Arial"/>
          <w:bCs/>
        </w:rPr>
      </w:pPr>
    </w:p>
    <w:p w14:paraId="7F524629" w14:textId="0C305357" w:rsidR="001C3E14" w:rsidRPr="00B728B4" w:rsidRDefault="001C3E14" w:rsidP="001C3E14">
      <w:pPr>
        <w:tabs>
          <w:tab w:val="left" w:pos="1240"/>
        </w:tabs>
        <w:rPr>
          <w:rFonts w:ascii="Arial" w:hAnsi="Arial" w:cs="Arial"/>
          <w:bCs/>
        </w:rPr>
      </w:pPr>
    </w:p>
    <w:p w14:paraId="6A7C569B" w14:textId="4915271E" w:rsidR="00E55159" w:rsidRDefault="00E55159" w:rsidP="00E55159">
      <w:pPr>
        <w:tabs>
          <w:tab w:val="left" w:pos="1240"/>
        </w:tabs>
        <w:rPr>
          <w:rFonts w:ascii="Arial" w:hAnsi="Arial" w:cs="Arial"/>
          <w:bCs/>
        </w:rPr>
      </w:pPr>
    </w:p>
    <w:p w14:paraId="3F13658E" w14:textId="64EB56B0" w:rsidR="00E55159" w:rsidRDefault="00E55159" w:rsidP="00E55159">
      <w:pPr>
        <w:tabs>
          <w:tab w:val="left" w:pos="1240"/>
        </w:tabs>
        <w:rPr>
          <w:rFonts w:ascii="Arial" w:hAnsi="Arial" w:cs="Arial"/>
          <w:bCs/>
        </w:rPr>
      </w:pPr>
    </w:p>
    <w:p w14:paraId="662BCBFB" w14:textId="77777777" w:rsidR="00E55159" w:rsidRDefault="00E55159" w:rsidP="00E55159">
      <w:pPr>
        <w:tabs>
          <w:tab w:val="left" w:pos="1240"/>
        </w:tabs>
        <w:rPr>
          <w:rFonts w:ascii="Arial" w:hAnsi="Arial" w:cs="Arial"/>
          <w:bCs/>
        </w:rPr>
      </w:pPr>
    </w:p>
    <w:p w14:paraId="393D3C64" w14:textId="77777777" w:rsidR="00E55159" w:rsidRDefault="00E55159" w:rsidP="00E55159">
      <w:pPr>
        <w:tabs>
          <w:tab w:val="left" w:pos="1240"/>
        </w:tabs>
        <w:rPr>
          <w:rFonts w:ascii="Arial" w:hAnsi="Arial" w:cs="Arial"/>
          <w:bCs/>
        </w:rPr>
      </w:pPr>
    </w:p>
    <w:p w14:paraId="7D42AADB" w14:textId="77777777" w:rsidR="00E55159" w:rsidRDefault="00E55159" w:rsidP="00E55159">
      <w:pPr>
        <w:rPr>
          <w:rFonts w:ascii="Arial" w:hAnsi="Arial" w:cs="Arial"/>
          <w:b/>
        </w:rPr>
      </w:pPr>
      <w:r>
        <w:rPr>
          <w:rFonts w:ascii="Arial" w:hAnsi="Arial" w:cs="Arial"/>
          <w:b/>
        </w:rPr>
        <w:t>_______________________</w:t>
      </w:r>
      <w:r>
        <w:rPr>
          <w:rFonts w:ascii="Arial" w:hAnsi="Arial" w:cs="Arial"/>
          <w:b/>
        </w:rPr>
        <w:tab/>
      </w:r>
      <w:r>
        <w:rPr>
          <w:rFonts w:ascii="Arial" w:hAnsi="Arial" w:cs="Arial"/>
          <w:b/>
        </w:rPr>
        <w:tab/>
        <w:t>__________________</w:t>
      </w:r>
      <w:r>
        <w:rPr>
          <w:rFonts w:ascii="Arial" w:hAnsi="Arial" w:cs="Arial"/>
          <w:b/>
        </w:rPr>
        <w:tab/>
        <w:t>___________________</w:t>
      </w:r>
    </w:p>
    <w:p w14:paraId="01A18E4C" w14:textId="77777777" w:rsidR="00E55159" w:rsidRDefault="00E55159" w:rsidP="00E55159">
      <w:pPr>
        <w:rPr>
          <w:rFonts w:ascii="Arial" w:hAnsi="Arial" w:cs="Arial"/>
          <w:b/>
          <w:sz w:val="23"/>
          <w:szCs w:val="23"/>
        </w:rPr>
      </w:pPr>
      <w:r>
        <w:rPr>
          <w:rFonts w:ascii="Arial" w:hAnsi="Arial" w:cs="Arial"/>
          <w:b/>
          <w:sz w:val="23"/>
          <w:szCs w:val="23"/>
        </w:rPr>
        <w:t>Mr Walter Tutt</w:t>
      </w:r>
      <w:r>
        <w:rPr>
          <w:rFonts w:ascii="Arial" w:hAnsi="Arial" w:cs="Arial"/>
          <w:b/>
          <w:sz w:val="23"/>
          <w:szCs w:val="23"/>
        </w:rPr>
        <w:tab/>
      </w:r>
      <w:r>
        <w:rPr>
          <w:rFonts w:ascii="Arial" w:hAnsi="Arial" w:cs="Arial"/>
          <w:b/>
          <w:sz w:val="23"/>
          <w:szCs w:val="23"/>
        </w:rPr>
        <w:tab/>
      </w:r>
      <w:r>
        <w:rPr>
          <w:rFonts w:ascii="Arial" w:hAnsi="Arial" w:cs="Arial"/>
          <w:b/>
          <w:sz w:val="23"/>
          <w:szCs w:val="23"/>
        </w:rPr>
        <w:tab/>
        <w:t>Ms Jill Lang AM</w:t>
      </w:r>
      <w:r>
        <w:rPr>
          <w:rFonts w:ascii="Arial" w:hAnsi="Arial" w:cs="Arial"/>
          <w:b/>
          <w:sz w:val="23"/>
          <w:szCs w:val="23"/>
        </w:rPr>
        <w:tab/>
      </w:r>
      <w:r>
        <w:rPr>
          <w:rFonts w:ascii="Arial" w:hAnsi="Arial" w:cs="Arial"/>
          <w:b/>
          <w:sz w:val="23"/>
          <w:szCs w:val="23"/>
        </w:rPr>
        <w:tab/>
        <w:t xml:space="preserve">Emeritus Professor </w:t>
      </w:r>
    </w:p>
    <w:p w14:paraId="2DDC9B1B" w14:textId="77777777" w:rsidR="00E55159" w:rsidRDefault="00E55159" w:rsidP="00E55159">
      <w:pPr>
        <w:rPr>
          <w:rFonts w:ascii="Arial" w:hAnsi="Arial" w:cs="Arial"/>
          <w:b/>
          <w:sz w:val="23"/>
          <w:szCs w:val="23"/>
        </w:rPr>
      </w:pPr>
      <w:r>
        <w:rPr>
          <w:rFonts w:ascii="Arial" w:hAnsi="Arial" w:cs="Arial"/>
          <w:b/>
          <w:sz w:val="23"/>
          <w:szCs w:val="23"/>
        </w:rPr>
        <w:t>Chairperson</w:t>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Member </w:t>
      </w:r>
      <w:r>
        <w:rPr>
          <w:rFonts w:ascii="Arial" w:hAnsi="Arial" w:cs="Arial"/>
          <w:b/>
          <w:sz w:val="23"/>
          <w:szCs w:val="23"/>
        </w:rPr>
        <w:tab/>
      </w:r>
      <w:r>
        <w:rPr>
          <w:rFonts w:ascii="Arial" w:hAnsi="Arial" w:cs="Arial"/>
          <w:b/>
          <w:sz w:val="23"/>
          <w:szCs w:val="23"/>
        </w:rPr>
        <w:tab/>
      </w:r>
      <w:r>
        <w:rPr>
          <w:rFonts w:ascii="Arial" w:hAnsi="Arial" w:cs="Arial"/>
          <w:b/>
          <w:sz w:val="23"/>
          <w:szCs w:val="23"/>
        </w:rPr>
        <w:tab/>
        <w:t>Patrick Weller AO, FASSA</w:t>
      </w:r>
    </w:p>
    <w:p w14:paraId="5C13D0B0" w14:textId="033715B5" w:rsidR="001C3E14" w:rsidRDefault="00E55159" w:rsidP="00E55159">
      <w:pPr>
        <w:tabs>
          <w:tab w:val="left" w:pos="1240"/>
        </w:tabs>
        <w:rPr>
          <w:rFonts w:ascii="Arial" w:hAnsi="Arial" w:cs="Arial"/>
          <w:b/>
          <w:sz w:val="23"/>
          <w:szCs w:val="23"/>
        </w:rPr>
      </w:pP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t>Member</w:t>
      </w:r>
    </w:p>
    <w:sectPr w:rsidR="001C3E14" w:rsidSect="00602AF9">
      <w:pgSz w:w="11906" w:h="16838" w:code="9"/>
      <w:pgMar w:top="1440" w:right="1133"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63E7" w14:textId="77777777" w:rsidR="00D667D6" w:rsidRDefault="00D667D6" w:rsidP="001C3E14">
      <w:r>
        <w:separator/>
      </w:r>
    </w:p>
  </w:endnote>
  <w:endnote w:type="continuationSeparator" w:id="0">
    <w:p w14:paraId="29561C89" w14:textId="77777777" w:rsidR="00D667D6" w:rsidRDefault="00D667D6" w:rsidP="001C3E14">
      <w:r>
        <w:continuationSeparator/>
      </w:r>
    </w:p>
  </w:endnote>
  <w:endnote w:type="continuationNotice" w:id="1">
    <w:p w14:paraId="526EB3D2" w14:textId="77777777" w:rsidR="00D667D6" w:rsidRDefault="00D66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0378"/>
      <w:docPartObj>
        <w:docPartGallery w:val="Page Numbers (Bottom of Page)"/>
        <w:docPartUnique/>
      </w:docPartObj>
    </w:sdtPr>
    <w:sdtEndPr>
      <w:rPr>
        <w:color w:val="7F7F7F" w:themeColor="background1" w:themeShade="7F"/>
        <w:spacing w:val="60"/>
      </w:rPr>
    </w:sdtEndPr>
    <w:sdtContent>
      <w:p w14:paraId="3D4C8078" w14:textId="256DEA44"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3DB827" w14:textId="77777777" w:rsidR="00195894" w:rsidRDefault="00195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2740986" w14:paraId="7AD51A6C" w14:textId="77777777" w:rsidTr="00797349">
      <w:tc>
        <w:tcPr>
          <w:tcW w:w="3210" w:type="dxa"/>
        </w:tcPr>
        <w:p w14:paraId="15E46242" w14:textId="2206839B" w:rsidR="22740986" w:rsidRDefault="22740986" w:rsidP="00797349">
          <w:pPr>
            <w:pStyle w:val="Header"/>
            <w:ind w:left="-115"/>
          </w:pPr>
        </w:p>
      </w:tc>
      <w:tc>
        <w:tcPr>
          <w:tcW w:w="3210" w:type="dxa"/>
        </w:tcPr>
        <w:p w14:paraId="089BB770" w14:textId="0F28D62B" w:rsidR="22740986" w:rsidRDefault="22740986" w:rsidP="00797349">
          <w:pPr>
            <w:pStyle w:val="Header"/>
            <w:jc w:val="center"/>
          </w:pPr>
        </w:p>
      </w:tc>
      <w:tc>
        <w:tcPr>
          <w:tcW w:w="3210" w:type="dxa"/>
        </w:tcPr>
        <w:p w14:paraId="61926E66" w14:textId="763E6B94" w:rsidR="22740986" w:rsidRDefault="22740986" w:rsidP="00797349">
          <w:pPr>
            <w:pStyle w:val="Header"/>
            <w:ind w:right="-115"/>
            <w:jc w:val="right"/>
          </w:pPr>
        </w:p>
      </w:tc>
    </w:tr>
  </w:tbl>
  <w:p w14:paraId="06126B02" w14:textId="070D1EE4" w:rsidR="00E84BDB" w:rsidRDefault="00E84BDB" w:rsidP="00253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74223"/>
      <w:docPartObj>
        <w:docPartGallery w:val="Page Numbers (Bottom of Page)"/>
        <w:docPartUnique/>
      </w:docPartObj>
    </w:sdtPr>
    <w:sdtEndPr>
      <w:rPr>
        <w:color w:val="7F7F7F" w:themeColor="background1" w:themeShade="7F"/>
        <w:spacing w:val="60"/>
      </w:rPr>
    </w:sdtEndPr>
    <w:sdtContent>
      <w:p w14:paraId="184C4803" w14:textId="77777777"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7362B9" w14:textId="77777777" w:rsidR="00602AF9" w:rsidRDefault="00602A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44784"/>
      <w:docPartObj>
        <w:docPartGallery w:val="Page Numbers (Bottom of Page)"/>
        <w:docPartUnique/>
      </w:docPartObj>
    </w:sdtPr>
    <w:sdtEndPr>
      <w:rPr>
        <w:color w:val="7F7F7F" w:themeColor="background1" w:themeShade="7F"/>
        <w:spacing w:val="60"/>
      </w:rPr>
    </w:sdtEndPr>
    <w:sdtContent>
      <w:p w14:paraId="73071514" w14:textId="043DDFC3"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AF4E4C" w14:textId="77777777" w:rsidR="00602AF9" w:rsidRDefault="00602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3643" w14:textId="77777777" w:rsidR="00D667D6" w:rsidRDefault="00D667D6" w:rsidP="001C3E14">
      <w:r>
        <w:separator/>
      </w:r>
    </w:p>
  </w:footnote>
  <w:footnote w:type="continuationSeparator" w:id="0">
    <w:p w14:paraId="71144FBC" w14:textId="77777777" w:rsidR="00D667D6" w:rsidRDefault="00D667D6" w:rsidP="001C3E14">
      <w:r>
        <w:continuationSeparator/>
      </w:r>
    </w:p>
  </w:footnote>
  <w:footnote w:type="continuationNotice" w:id="1">
    <w:p w14:paraId="4ABA47A9" w14:textId="77777777" w:rsidR="00D667D6" w:rsidRDefault="00D667D6"/>
  </w:footnote>
  <w:footnote w:id="2">
    <w:p w14:paraId="6666DD97" w14:textId="77777777" w:rsidR="001F47A0" w:rsidRDefault="001F47A0" w:rsidP="00AB52EC">
      <w:pPr>
        <w:pStyle w:val="FootnoteText"/>
        <w:jc w:val="both"/>
      </w:pPr>
      <w:r>
        <w:rPr>
          <w:rStyle w:val="FootnoteReference"/>
        </w:rPr>
        <w:footnoteRef/>
      </w:r>
      <w:r>
        <w:t xml:space="preserve"> 8 January 2021 – Three day lockdown for Greater Brisbane</w:t>
      </w:r>
    </w:p>
  </w:footnote>
  <w:footnote w:id="3">
    <w:p w14:paraId="134FE557" w14:textId="77777777" w:rsidR="001F47A0" w:rsidRDefault="001F47A0" w:rsidP="00AB52EC">
      <w:pPr>
        <w:pStyle w:val="FootnoteText"/>
        <w:jc w:val="both"/>
      </w:pPr>
      <w:r>
        <w:rPr>
          <w:rStyle w:val="FootnoteReference"/>
        </w:rPr>
        <w:footnoteRef/>
      </w:r>
      <w:r>
        <w:t xml:space="preserve"> 29 March 2021 – Three day lockdown for Greater Brisbane (lifted 5 hours early) </w:t>
      </w:r>
    </w:p>
  </w:footnote>
  <w:footnote w:id="4">
    <w:p w14:paraId="7B1DFB44" w14:textId="77777777" w:rsidR="001F47A0" w:rsidRDefault="001F47A0" w:rsidP="00AB52EC">
      <w:pPr>
        <w:pStyle w:val="FootnoteText"/>
        <w:jc w:val="both"/>
      </w:pPr>
      <w:r>
        <w:rPr>
          <w:rStyle w:val="FootnoteReference"/>
        </w:rPr>
        <w:footnoteRef/>
      </w:r>
      <w:r>
        <w:t xml:space="preserve"> 29 June 2021 – Three day lockdown for </w:t>
      </w:r>
      <w:proofErr w:type="gramStart"/>
      <w:r>
        <w:t>South East</w:t>
      </w:r>
      <w:proofErr w:type="gramEnd"/>
      <w:r>
        <w:t xml:space="preserve"> Queensland, Townsville City, Magnetic Island and Palm Island. </w:t>
      </w:r>
    </w:p>
  </w:footnote>
  <w:footnote w:id="5">
    <w:p w14:paraId="30CCB1EB" w14:textId="77777777" w:rsidR="009B218B" w:rsidRPr="008823F0" w:rsidRDefault="009B218B" w:rsidP="00AB52EC">
      <w:pPr>
        <w:jc w:val="both"/>
        <w:rPr>
          <w:rFonts w:eastAsia="Calibri" w:cstheme="minorHAnsi"/>
          <w:sz w:val="20"/>
          <w:szCs w:val="20"/>
        </w:rPr>
      </w:pPr>
      <w:r>
        <w:rPr>
          <w:rStyle w:val="FootnoteReference"/>
        </w:rPr>
        <w:footnoteRef/>
      </w:r>
      <w:r>
        <w:t xml:space="preserve"> </w:t>
      </w:r>
      <w:r w:rsidRPr="008823F0">
        <w:rPr>
          <w:rFonts w:eastAsia="Calibri" w:cstheme="minorHAnsi"/>
          <w:sz w:val="20"/>
          <w:szCs w:val="20"/>
        </w:rPr>
        <w:t xml:space="preserve">In accordance with the </w:t>
      </w:r>
      <w:r w:rsidRPr="008823F0">
        <w:rPr>
          <w:rFonts w:eastAsia="Calibri" w:cstheme="minorHAnsi"/>
          <w:i/>
          <w:iCs/>
          <w:sz w:val="20"/>
          <w:szCs w:val="20"/>
        </w:rPr>
        <w:t>Members’ Remuneration Handbook</w:t>
      </w:r>
      <w:r w:rsidRPr="008823F0">
        <w:rPr>
          <w:rFonts w:eastAsia="Calibri" w:cstheme="minorHAnsi"/>
          <w:sz w:val="20"/>
          <w:szCs w:val="20"/>
        </w:rPr>
        <w:t xml:space="preserve">, any over-expenditure of the ECA must be met personally by the Member and over expenditure cannot be offset against any future reporting period allowance. </w:t>
      </w:r>
    </w:p>
    <w:p w14:paraId="37D26315" w14:textId="77777777" w:rsidR="009B218B" w:rsidRDefault="009B218B" w:rsidP="00AB52EC">
      <w:pPr>
        <w:pStyle w:val="FootnoteText"/>
        <w:jc w:val="both"/>
      </w:pPr>
      <w:r w:rsidRPr="008823F0">
        <w:rPr>
          <w:rFonts w:eastAsia="Calibri" w:cstheme="minorHAnsi"/>
        </w:rPr>
        <w:t>For reporting purposes, the Clerk of the Parliament is only required to report when a member has reached 100% in the Expenditure Annual Reports (see Determination 18/2018). However, the Tribunal encourages members to continue to report over-expenditure to enable assessment of the adequacy of the ECA. However, many members stop reporting once they reach 100% of their allowance.</w:t>
      </w:r>
    </w:p>
  </w:footnote>
  <w:footnote w:id="6">
    <w:p w14:paraId="7A45F545" w14:textId="77777777" w:rsidR="00DF2085" w:rsidRDefault="00DF2085" w:rsidP="00AB52EC">
      <w:pPr>
        <w:pStyle w:val="FootnoteText"/>
        <w:jc w:val="both"/>
      </w:pPr>
      <w:r>
        <w:rPr>
          <w:rStyle w:val="FootnoteReference"/>
        </w:rPr>
        <w:footnoteRef/>
      </w:r>
      <w:r>
        <w:t xml:space="preserve"> </w:t>
      </w:r>
      <w:r w:rsidRPr="008823F0">
        <w:rPr>
          <w:rFonts w:cstheme="minorHAnsi"/>
        </w:rPr>
        <w:t>In accordance with the Handbook, under-expenditure greater than 10% of the total ECA is deemed an overpayment of the original allowance. Under-expenditure will be deducted from future allowances while up to 10% of the total ECA paid for each financial year that is unexpended at 30 June is able to be retained and carried over for use in the next financial year.</w:t>
      </w:r>
    </w:p>
  </w:footnote>
  <w:footnote w:id="7">
    <w:p w14:paraId="65670AA9" w14:textId="0A6905F2" w:rsidR="00495ED3" w:rsidRDefault="00495ED3">
      <w:pPr>
        <w:pStyle w:val="FootnoteText"/>
      </w:pPr>
      <w:r>
        <w:rPr>
          <w:rStyle w:val="FootnoteReference"/>
        </w:rPr>
        <w:footnoteRef/>
      </w:r>
      <w:r>
        <w:t xml:space="preserve"> The </w:t>
      </w:r>
      <w:r w:rsidRPr="0087633F">
        <w:t>quota is calculated by dividing the total number of electors in the State by the 93 electorates.</w:t>
      </w:r>
    </w:p>
  </w:footnote>
  <w:footnote w:id="8">
    <w:p w14:paraId="290E2080" w14:textId="24C19869" w:rsidR="1E9BB069" w:rsidRDefault="1E9BB069">
      <w:r w:rsidRPr="1E9BB069">
        <w:rPr>
          <w:rStyle w:val="FootnoteReference"/>
        </w:rPr>
        <w:footnoteRef/>
      </w:r>
      <w:r w:rsidR="22740986" w:rsidRPr="1E9BB069">
        <w:t xml:space="preserve"> </w:t>
      </w:r>
      <w:r w:rsidR="35EC6DB4" w:rsidRPr="35EC6DB4">
        <w:rPr>
          <w:sz w:val="20"/>
          <w:szCs w:val="20"/>
        </w:rPr>
        <w:t>The</w:t>
      </w:r>
      <w:r w:rsidR="22740986" w:rsidRPr="22740986">
        <w:rPr>
          <w:sz w:val="20"/>
          <w:szCs w:val="20"/>
        </w:rPr>
        <w:t xml:space="preserve"> RACQ </w:t>
      </w:r>
      <w:r w:rsidR="35EC6DB4" w:rsidRPr="35EC6DB4">
        <w:rPr>
          <w:sz w:val="20"/>
          <w:szCs w:val="20"/>
        </w:rPr>
        <w:t>prepare</w:t>
      </w:r>
      <w:r w:rsidR="005E579F">
        <w:rPr>
          <w:sz w:val="20"/>
          <w:szCs w:val="20"/>
        </w:rPr>
        <w:t>s</w:t>
      </w:r>
      <w:r w:rsidR="35EC6DB4" w:rsidRPr="35EC6DB4">
        <w:rPr>
          <w:sz w:val="20"/>
          <w:szCs w:val="20"/>
        </w:rPr>
        <w:t xml:space="preserve"> an</w:t>
      </w:r>
      <w:r w:rsidR="22740986" w:rsidRPr="35EC6DB4">
        <w:rPr>
          <w:sz w:val="20"/>
          <w:szCs w:val="20"/>
        </w:rPr>
        <w:t xml:space="preserve"> annual report of the average cost of owning and operating a private vehicle in Queensland</w:t>
      </w:r>
      <w:r w:rsidR="35EC6DB4" w:rsidRPr="35EC6DB4">
        <w:rPr>
          <w:sz w:val="20"/>
          <w:szCs w:val="20"/>
        </w:rPr>
        <w:t>.</w:t>
      </w:r>
    </w:p>
    <w:p w14:paraId="34CD4951" w14:textId="03D9CC23" w:rsidR="1E9BB069" w:rsidRDefault="1E9BB069">
      <w:pPr>
        <w:rPr>
          <w:sz w:val="20"/>
          <w:szCs w:val="20"/>
        </w:rPr>
      </w:pPr>
    </w:p>
  </w:footnote>
  <w:footnote w:id="9">
    <w:p w14:paraId="3068638D" w14:textId="715DE6CF" w:rsidR="00EC7056" w:rsidRPr="00077FC9" w:rsidRDefault="00EC7056">
      <w:pPr>
        <w:pStyle w:val="FootnoteText"/>
        <w:rPr>
          <w:lang w:val="en-US"/>
        </w:rPr>
      </w:pPr>
      <w:r>
        <w:rPr>
          <w:rStyle w:val="FootnoteReference"/>
        </w:rPr>
        <w:footnoteRef/>
      </w:r>
      <w:r>
        <w:t xml:space="preserve"> </w:t>
      </w:r>
      <w:r w:rsidR="00B9144A">
        <w:t>Member’s Remuneration Han</w:t>
      </w:r>
      <w:r w:rsidR="002B70F8">
        <w:t>d</w:t>
      </w:r>
      <w:r w:rsidR="00B9144A">
        <w:t>book</w:t>
      </w:r>
      <w:r w:rsidR="00545CB5">
        <w:t>, page 27</w:t>
      </w:r>
      <w:r w:rsidR="003B0EC8">
        <w:t xml:space="preserve"> notes that </w:t>
      </w:r>
      <w:proofErr w:type="gramStart"/>
      <w:r w:rsidR="003B0EC8">
        <w:t>i</w:t>
      </w:r>
      <w:proofErr w:type="spellStart"/>
      <w:r>
        <w:rPr>
          <w:lang w:val="en-US"/>
        </w:rPr>
        <w:t>n</w:t>
      </w:r>
      <w:proofErr w:type="spellEnd"/>
      <w:r>
        <w:rPr>
          <w:lang w:val="en-US"/>
        </w:rPr>
        <w:t xml:space="preserve"> the event </w:t>
      </w:r>
      <w:r w:rsidR="002F5F94">
        <w:rPr>
          <w:lang w:val="en-US"/>
        </w:rPr>
        <w:t>that</w:t>
      </w:r>
      <w:proofErr w:type="gramEnd"/>
      <w:r w:rsidR="002F5F94">
        <w:rPr>
          <w:lang w:val="en-US"/>
        </w:rPr>
        <w:t xml:space="preserve"> staff need to travel but the criteria is not met, certain costs may be </w:t>
      </w:r>
      <w:r w:rsidR="00C82DC3">
        <w:rPr>
          <w:lang w:val="en-US"/>
        </w:rPr>
        <w:t>acquitted under the ECA.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6878" w14:textId="68DFEA2B" w:rsidR="00976B63" w:rsidRDefault="00BD5BB0">
    <w:pPr>
      <w:pStyle w:val="Header"/>
    </w:pPr>
    <w:r>
      <w:rPr>
        <w:noProof/>
      </w:rPr>
      <w:drawing>
        <wp:anchor distT="0" distB="0" distL="114300" distR="114300" simplePos="0" relativeHeight="251658241" behindDoc="0" locked="0" layoutInCell="1" allowOverlap="1" wp14:anchorId="44B0DA97" wp14:editId="1505D46A">
          <wp:simplePos x="0" y="0"/>
          <wp:positionH relativeFrom="column">
            <wp:posOffset>3375025</wp:posOffset>
          </wp:positionH>
          <wp:positionV relativeFrom="paragraph">
            <wp:posOffset>-290082</wp:posOffset>
          </wp:positionV>
          <wp:extent cx="2843530" cy="497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761"/>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8242" behindDoc="0" locked="0" layoutInCell="1" allowOverlap="1" wp14:anchorId="2D33ADEB" wp14:editId="5C5FAC2B">
              <wp:simplePos x="0" y="0"/>
              <wp:positionH relativeFrom="margin">
                <wp:align>right</wp:align>
              </wp:positionH>
              <wp:positionV relativeFrom="paragraph">
                <wp:posOffset>207592</wp:posOffset>
              </wp:positionV>
              <wp:extent cx="1990483" cy="248880"/>
              <wp:effectExtent l="0" t="0" r="10160" b="18415"/>
              <wp:wrapNone/>
              <wp:docPr id="14" name="Text Box 14"/>
              <wp:cNvGraphicFramePr/>
              <a:graphic xmlns:a="http://schemas.openxmlformats.org/drawingml/2006/main">
                <a:graphicData uri="http://schemas.microsoft.com/office/word/2010/wordprocessingShape">
                  <wps:wsp>
                    <wps:cNvSpPr txBox="1"/>
                    <wps:spPr>
                      <a:xfrm>
                        <a:off x="0" y="0"/>
                        <a:ext cx="1990483" cy="24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CBEC6C" w14:textId="30D7F473" w:rsidR="00BD5BB0" w:rsidRDefault="00BD5BB0" w:rsidP="00BD5BB0">
                          <w:pPr>
                            <w:jc w:val="right"/>
                            <w:rPr>
                              <w:rFonts w:ascii="Arial" w:hAnsi="Arial" w:cs="Arial"/>
                            </w:rPr>
                          </w:pPr>
                          <w:r>
                            <w:rPr>
                              <w:rFonts w:ascii="Arial" w:hAnsi="Arial" w:cs="Arial"/>
                            </w:rPr>
                            <w:t>Determination 2</w:t>
                          </w:r>
                          <w:r w:rsidR="00922731">
                            <w:rPr>
                              <w:rFonts w:ascii="Arial" w:hAnsi="Arial" w:cs="Arial"/>
                            </w:rPr>
                            <w:t>6</w:t>
                          </w:r>
                          <w:r>
                            <w:rPr>
                              <w:rFonts w:ascii="Arial" w:hAnsi="Arial" w:cs="Arial"/>
                            </w:rPr>
                            <w:t>/202</w:t>
                          </w:r>
                          <w:r w:rsidR="007F3254">
                            <w:rPr>
                              <w:rFonts w:ascii="Arial" w:hAnsi="Arial" w:cs="Arial"/>
                            </w:rPr>
                            <w:t>2</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D33ADEB" id="_x0000_t202" coordsize="21600,21600" o:spt="202" path="m,l,21600r21600,l21600,xe">
              <v:stroke joinstyle="miter"/>
              <v:path gradientshapeok="t" o:connecttype="rect"/>
            </v:shapetype>
            <v:shape id="Text Box 14" o:spid="_x0000_s1028" type="#_x0000_t202" style="position:absolute;margin-left:105.55pt;margin-top:16.35pt;width:156.75pt;height:19.6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" filled="f" stroked="f">
              <v:textbox inset="0,0,0,0">
                <w:txbxContent>
                  <w:p w14:paraId="46CBEC6C" w14:textId="30D7F473" w:rsidR="00BD5BB0" w:rsidRDefault="00BD5BB0" w:rsidP="00BD5BB0">
                    <w:pPr>
                      <w:jc w:val="right"/>
                      <w:rPr>
                        <w:rFonts w:ascii="Arial" w:hAnsi="Arial" w:cs="Arial"/>
                      </w:rPr>
                    </w:pPr>
                    <w:r>
                      <w:rPr>
                        <w:rFonts w:ascii="Arial" w:hAnsi="Arial" w:cs="Arial"/>
                      </w:rPr>
                      <w:t>Determination 2</w:t>
                    </w:r>
                    <w:r w:rsidR="00922731">
                      <w:rPr>
                        <w:rFonts w:ascii="Arial" w:hAnsi="Arial" w:cs="Arial"/>
                      </w:rPr>
                      <w:t>6</w:t>
                    </w:r>
                    <w:r>
                      <w:rPr>
                        <w:rFonts w:ascii="Arial" w:hAnsi="Arial" w:cs="Arial"/>
                      </w:rPr>
                      <w:t>/202</w:t>
                    </w:r>
                    <w:r w:rsidR="007F3254">
                      <w:rPr>
                        <w:rFonts w:ascii="Arial" w:hAnsi="Arial" w:cs="Arial"/>
                      </w:rPr>
                      <w:t>2</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03AD" w14:textId="23663BDA" w:rsidR="00602AF9" w:rsidRDefault="00500327" w:rsidP="00500327">
    <w:pPr>
      <w:pStyle w:val="Header"/>
      <w:tabs>
        <w:tab w:val="clear" w:pos="4513"/>
        <w:tab w:val="clear" w:pos="9026"/>
        <w:tab w:val="left" w:pos="8670"/>
      </w:tabs>
      <w:ind w:left="1440"/>
    </w:pPr>
    <w:r>
      <w:rPr>
        <w:rFonts w:ascii="Times New Roman" w:hAnsi="Times New Roman"/>
        <w:noProof/>
        <w:sz w:val="24"/>
        <w:szCs w:val="24"/>
      </w:rPr>
      <mc:AlternateContent>
        <mc:Choice Requires="wpg">
          <w:drawing>
            <wp:anchor distT="0" distB="0" distL="114300" distR="114300" simplePos="0" relativeHeight="251660290" behindDoc="0" locked="0" layoutInCell="1" allowOverlap="1" wp14:anchorId="0F0B6B1D" wp14:editId="11DAA34A">
              <wp:simplePos x="0" y="0"/>
              <wp:positionH relativeFrom="margin">
                <wp:posOffset>3633787</wp:posOffset>
              </wp:positionH>
              <wp:positionV relativeFrom="paragraph">
                <wp:posOffset>-167005</wp:posOffset>
              </wp:positionV>
              <wp:extent cx="2843530" cy="786765"/>
              <wp:effectExtent l="0" t="0" r="0" b="13335"/>
              <wp:wrapNone/>
              <wp:docPr id="2" name="Group 2"/>
              <wp:cNvGraphicFramePr/>
              <a:graphic xmlns:a="http://schemas.openxmlformats.org/drawingml/2006/main">
                <a:graphicData uri="http://schemas.microsoft.com/office/word/2010/wordprocessingGroup">
                  <wpg:wgp>
                    <wpg:cNvGrpSpPr/>
                    <wpg:grpSpPr>
                      <a:xfrm>
                        <a:off x="0" y="0"/>
                        <a:ext cx="2843530" cy="786765"/>
                        <a:chOff x="0" y="0"/>
                        <a:chExt cx="2843530" cy="786890"/>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714617" y="537970"/>
                          <a:ext cx="199048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F40E30" w14:textId="67C9AE3A" w:rsidR="00500327" w:rsidRDefault="00500327" w:rsidP="00500327">
                            <w:pPr>
                              <w:jc w:val="right"/>
                              <w:rPr>
                                <w:rFonts w:ascii="Arial" w:hAnsi="Arial" w:cs="Arial"/>
                              </w:rPr>
                            </w:pPr>
                            <w:r>
                              <w:rPr>
                                <w:rFonts w:ascii="Arial" w:hAnsi="Arial" w:cs="Arial"/>
                              </w:rPr>
                              <w:t>Determination 26/</w:t>
                            </w:r>
                            <w:r w:rsidRPr="004E146D">
                              <w:rPr>
                                <w:rFonts w:ascii="Arial" w:hAnsi="Arial" w:cs="Arial"/>
                              </w:rPr>
                              <w:t>202</w:t>
                            </w:r>
                            <w:r w:rsidR="000D3B49" w:rsidRPr="004E146D">
                              <w:rPr>
                                <w:rFonts w:ascii="Arial" w:hAnsi="Arial" w:cs="Arial"/>
                              </w:rPr>
                              <w:t>2</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0B6B1D" id="Group 2" o:spid="_x0000_s1029" style="position:absolute;left:0;text-align:left;margin-left:286.1pt;margin-top:-13.15pt;width:223.9pt;height:61.95pt;z-index:251660290;mso-position-horizontal-relative:margin"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">
                <v:imagedata r:id="rId2" o:title="" croptop="2f" cropbottom="19593f"/>
              </v:shape>
              <v:shapetype id="_x0000_t202" coordsize="21600,21600" o:spt="202" path="m,l,21600r21600,l21600,xe">
                <v:stroke joinstyle="miter"/>
                <v:path gradientshapeok="t" o:connecttype="rect"/>
              </v:shapetype>
              <v:shape id="Text Box 4" o:spid="_x0000_s1031" type="#_x0000_t202" style="position:absolute;left:7146;top:5379;width:1990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F40E30" w14:textId="67C9AE3A" w:rsidR="00500327" w:rsidRDefault="00500327" w:rsidP="00500327">
                      <w:pPr>
                        <w:jc w:val="right"/>
                        <w:rPr>
                          <w:rFonts w:ascii="Arial" w:hAnsi="Arial" w:cs="Arial"/>
                        </w:rPr>
                      </w:pPr>
                      <w:r>
                        <w:rPr>
                          <w:rFonts w:ascii="Arial" w:hAnsi="Arial" w:cs="Arial"/>
                        </w:rPr>
                        <w:t>Determination 26/</w:t>
                      </w:r>
                      <w:r w:rsidRPr="004E146D">
                        <w:rPr>
                          <w:rFonts w:ascii="Arial" w:hAnsi="Arial" w:cs="Arial"/>
                        </w:rPr>
                        <w:t>202</w:t>
                      </w:r>
                      <w:r w:rsidR="000D3B49" w:rsidRPr="004E146D">
                        <w:rPr>
                          <w:rFonts w:ascii="Arial" w:hAnsi="Arial" w:cs="Arial"/>
                        </w:rPr>
                        <w:t>2</w:t>
                      </w:r>
                    </w:p>
                  </w:txbxContent>
                </v:textbox>
              </v:shape>
              <w10:wrap anchorx="margin"/>
            </v:group>
          </w:pict>
        </mc:Fallback>
      </mc:AlternateContent>
    </w:r>
    <w:r w:rsidR="00602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3D"/>
    <w:multiLevelType w:val="hybridMultilevel"/>
    <w:tmpl w:val="9CAAA8D4"/>
    <w:lvl w:ilvl="0" w:tplc="1C8803A0">
      <w:start w:val="1"/>
      <w:numFmt w:val="decimal"/>
      <w:lvlText w:val="%1"/>
      <w:lvlJc w:val="left"/>
      <w:pPr>
        <w:tabs>
          <w:tab w:val="num" w:pos="1145"/>
        </w:tabs>
        <w:ind w:left="1145" w:hanging="360"/>
      </w:pPr>
      <w:rPr>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i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A80826"/>
    <w:multiLevelType w:val="hybridMultilevel"/>
    <w:tmpl w:val="8948F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A1222"/>
    <w:multiLevelType w:val="hybridMultilevel"/>
    <w:tmpl w:val="C0FC383C"/>
    <w:lvl w:ilvl="0" w:tplc="2B1632AE">
      <w:start w:val="1"/>
      <w:numFmt w:val="lowerLetter"/>
      <w:lvlText w:val="%1)"/>
      <w:lvlJc w:val="left"/>
      <w:pPr>
        <w:ind w:left="360" w:hanging="360"/>
      </w:pPr>
      <w:rPr>
        <w:rFonts w:asciiTheme="minorHAnsi" w:hAnsiTheme="minorHAnsi" w:cstheme="minorBidi" w:hint="default"/>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156E4D"/>
    <w:multiLevelType w:val="hybridMultilevel"/>
    <w:tmpl w:val="BF1074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D361B0"/>
    <w:multiLevelType w:val="hybridMultilevel"/>
    <w:tmpl w:val="EAD47702"/>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B7D5A"/>
    <w:multiLevelType w:val="hybridMultilevel"/>
    <w:tmpl w:val="6CA2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03C91"/>
    <w:multiLevelType w:val="hybridMultilevel"/>
    <w:tmpl w:val="308604FE"/>
    <w:lvl w:ilvl="0" w:tplc="04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A813B2F"/>
    <w:multiLevelType w:val="hybridMultilevel"/>
    <w:tmpl w:val="0AA001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AC975E0"/>
    <w:multiLevelType w:val="hybridMultilevel"/>
    <w:tmpl w:val="A7B6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320358"/>
    <w:multiLevelType w:val="hybridMultilevel"/>
    <w:tmpl w:val="39781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750C98"/>
    <w:multiLevelType w:val="hybridMultilevel"/>
    <w:tmpl w:val="C5FA8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FC418F"/>
    <w:multiLevelType w:val="hybridMultilevel"/>
    <w:tmpl w:val="B02AEEDA"/>
    <w:lvl w:ilvl="0" w:tplc="660415B6">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1F50CC6"/>
    <w:multiLevelType w:val="hybridMultilevel"/>
    <w:tmpl w:val="9552F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25629EC"/>
    <w:multiLevelType w:val="hybridMultilevel"/>
    <w:tmpl w:val="9CDAF1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2F2937"/>
    <w:multiLevelType w:val="hybridMultilevel"/>
    <w:tmpl w:val="CCB001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4110B3E"/>
    <w:multiLevelType w:val="hybridMultilevel"/>
    <w:tmpl w:val="5030B36C"/>
    <w:lvl w:ilvl="0" w:tplc="9540507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611BE"/>
    <w:multiLevelType w:val="hybridMultilevel"/>
    <w:tmpl w:val="5504E5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5CF5A82"/>
    <w:multiLevelType w:val="hybridMultilevel"/>
    <w:tmpl w:val="E772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7A53854"/>
    <w:multiLevelType w:val="hybridMultilevel"/>
    <w:tmpl w:val="9284379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82E451A"/>
    <w:multiLevelType w:val="hybridMultilevel"/>
    <w:tmpl w:val="25687398"/>
    <w:lvl w:ilvl="0" w:tplc="F72E4C22">
      <w:start w:val="2"/>
      <w:numFmt w:val="bullet"/>
      <w:lvlText w:val="-"/>
      <w:lvlJc w:val="left"/>
      <w:pPr>
        <w:ind w:left="536" w:hanging="360"/>
      </w:pPr>
      <w:rPr>
        <w:rFonts w:ascii="Calibri" w:eastAsiaTheme="minorHAnsi" w:hAnsi="Calibri" w:cs="Calibri"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23" w15:restartNumberingAfterBreak="0">
    <w:nsid w:val="188978DA"/>
    <w:multiLevelType w:val="hybridMultilevel"/>
    <w:tmpl w:val="5504E5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96D1C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334872"/>
    <w:multiLevelType w:val="hybridMultilevel"/>
    <w:tmpl w:val="E41A6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18485F"/>
    <w:multiLevelType w:val="hybridMultilevel"/>
    <w:tmpl w:val="39781D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E9D32E9"/>
    <w:multiLevelType w:val="hybridMultilevel"/>
    <w:tmpl w:val="B3C07F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F914095"/>
    <w:multiLevelType w:val="hybridMultilevel"/>
    <w:tmpl w:val="966C2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0A0450B"/>
    <w:multiLevelType w:val="hybridMultilevel"/>
    <w:tmpl w:val="EC54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317C58"/>
    <w:multiLevelType w:val="hybridMultilevel"/>
    <w:tmpl w:val="43EE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09118B"/>
    <w:multiLevelType w:val="hybridMultilevel"/>
    <w:tmpl w:val="72AC92A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28FD2BD8"/>
    <w:multiLevelType w:val="hybridMultilevel"/>
    <w:tmpl w:val="61B4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7F0909"/>
    <w:multiLevelType w:val="hybridMultilevel"/>
    <w:tmpl w:val="BB8EC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FE0457"/>
    <w:multiLevelType w:val="hybridMultilevel"/>
    <w:tmpl w:val="5504E5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2F022D7A"/>
    <w:multiLevelType w:val="hybridMultilevel"/>
    <w:tmpl w:val="39781DFE"/>
    <w:lvl w:ilvl="0" w:tplc="37E837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F627ACA"/>
    <w:multiLevelType w:val="hybridMultilevel"/>
    <w:tmpl w:val="B3A69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7F5102"/>
    <w:multiLevelType w:val="hybridMultilevel"/>
    <w:tmpl w:val="492437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36830802"/>
    <w:multiLevelType w:val="hybridMultilevel"/>
    <w:tmpl w:val="E444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693528C"/>
    <w:multiLevelType w:val="hybridMultilevel"/>
    <w:tmpl w:val="1576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A3187E"/>
    <w:multiLevelType w:val="hybridMultilevel"/>
    <w:tmpl w:val="5E9026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8445826"/>
    <w:multiLevelType w:val="hybridMultilevel"/>
    <w:tmpl w:val="04EADB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3B0B4BA8"/>
    <w:multiLevelType w:val="hybridMultilevel"/>
    <w:tmpl w:val="76F8AB26"/>
    <w:lvl w:ilvl="0" w:tplc="27A0A768">
      <w:start w:val="1"/>
      <w:numFmt w:val="bullet"/>
      <w:lvlText w:val="-"/>
      <w:lvlJc w:val="left"/>
      <w:pPr>
        <w:ind w:left="927" w:hanging="360"/>
      </w:pPr>
      <w:rPr>
        <w:rFonts w:ascii="Courier New" w:hAnsi="Courier New" w:hint="default"/>
      </w:rPr>
    </w:lvl>
    <w:lvl w:ilvl="1" w:tplc="FFFFFFFF">
      <w:start w:val="1"/>
      <w:numFmt w:val="bullet"/>
      <w:lvlText w:val="-"/>
      <w:lvlJc w:val="left"/>
      <w:pPr>
        <w:ind w:left="1647" w:hanging="360"/>
      </w:pPr>
      <w:rPr>
        <w:rFonts w:ascii="Courier New" w:hAnsi="Courier New"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4" w15:restartNumberingAfterBreak="0">
    <w:nsid w:val="3C141D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C623DA0"/>
    <w:multiLevelType w:val="hybridMultilevel"/>
    <w:tmpl w:val="D112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174C35"/>
    <w:multiLevelType w:val="hybridMultilevel"/>
    <w:tmpl w:val="C95A2A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F6009E7"/>
    <w:multiLevelType w:val="hybridMultilevel"/>
    <w:tmpl w:val="F38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89249E"/>
    <w:multiLevelType w:val="hybridMultilevel"/>
    <w:tmpl w:val="23802E44"/>
    <w:lvl w:ilvl="0" w:tplc="30A44C3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40194C10"/>
    <w:multiLevelType w:val="hybridMultilevel"/>
    <w:tmpl w:val="9CAA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AE7F76"/>
    <w:multiLevelType w:val="hybridMultilevel"/>
    <w:tmpl w:val="6DEA31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3E74559"/>
    <w:multiLevelType w:val="hybridMultilevel"/>
    <w:tmpl w:val="747052B6"/>
    <w:lvl w:ilvl="0" w:tplc="04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4499562C"/>
    <w:multiLevelType w:val="hybridMultilevel"/>
    <w:tmpl w:val="49243750"/>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4E553B7"/>
    <w:multiLevelType w:val="hybridMultilevel"/>
    <w:tmpl w:val="95266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46903B74"/>
    <w:multiLevelType w:val="hybridMultilevel"/>
    <w:tmpl w:val="1790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2F4B20"/>
    <w:multiLevelType w:val="hybridMultilevel"/>
    <w:tmpl w:val="94004CDC"/>
    <w:lvl w:ilvl="0" w:tplc="04090017">
      <w:start w:val="1"/>
      <w:numFmt w:val="lowerLetter"/>
      <w:lvlText w:val="%1)"/>
      <w:lvlJc w:val="left"/>
      <w:pPr>
        <w:ind w:left="300" w:hanging="360"/>
      </w:pPr>
      <w:rPr>
        <w:rFonts w:hint="default"/>
      </w:rPr>
    </w:lvl>
    <w:lvl w:ilvl="1" w:tplc="0C090019">
      <w:start w:val="1"/>
      <w:numFmt w:val="lowerLetter"/>
      <w:lvlText w:val="%2."/>
      <w:lvlJc w:val="left"/>
      <w:pPr>
        <w:ind w:left="1020" w:hanging="360"/>
      </w:pPr>
    </w:lvl>
    <w:lvl w:ilvl="2" w:tplc="0C09001B" w:tentative="1">
      <w:start w:val="1"/>
      <w:numFmt w:val="lowerRoman"/>
      <w:lvlText w:val="%3."/>
      <w:lvlJc w:val="right"/>
      <w:pPr>
        <w:ind w:left="1740" w:hanging="180"/>
      </w:pPr>
    </w:lvl>
    <w:lvl w:ilvl="3" w:tplc="0C09000F" w:tentative="1">
      <w:start w:val="1"/>
      <w:numFmt w:val="decimal"/>
      <w:lvlText w:val="%4."/>
      <w:lvlJc w:val="left"/>
      <w:pPr>
        <w:ind w:left="2460" w:hanging="360"/>
      </w:pPr>
    </w:lvl>
    <w:lvl w:ilvl="4" w:tplc="0C090019" w:tentative="1">
      <w:start w:val="1"/>
      <w:numFmt w:val="lowerLetter"/>
      <w:lvlText w:val="%5."/>
      <w:lvlJc w:val="left"/>
      <w:pPr>
        <w:ind w:left="3180" w:hanging="360"/>
      </w:pPr>
    </w:lvl>
    <w:lvl w:ilvl="5" w:tplc="0C09001B" w:tentative="1">
      <w:start w:val="1"/>
      <w:numFmt w:val="lowerRoman"/>
      <w:lvlText w:val="%6."/>
      <w:lvlJc w:val="right"/>
      <w:pPr>
        <w:ind w:left="3900" w:hanging="180"/>
      </w:pPr>
    </w:lvl>
    <w:lvl w:ilvl="6" w:tplc="0C09000F" w:tentative="1">
      <w:start w:val="1"/>
      <w:numFmt w:val="decimal"/>
      <w:lvlText w:val="%7."/>
      <w:lvlJc w:val="left"/>
      <w:pPr>
        <w:ind w:left="4620" w:hanging="360"/>
      </w:pPr>
    </w:lvl>
    <w:lvl w:ilvl="7" w:tplc="0C090019" w:tentative="1">
      <w:start w:val="1"/>
      <w:numFmt w:val="lowerLetter"/>
      <w:lvlText w:val="%8."/>
      <w:lvlJc w:val="left"/>
      <w:pPr>
        <w:ind w:left="5340" w:hanging="360"/>
      </w:pPr>
    </w:lvl>
    <w:lvl w:ilvl="8" w:tplc="0C09001B" w:tentative="1">
      <w:start w:val="1"/>
      <w:numFmt w:val="lowerRoman"/>
      <w:lvlText w:val="%9."/>
      <w:lvlJc w:val="right"/>
      <w:pPr>
        <w:ind w:left="6060" w:hanging="180"/>
      </w:pPr>
    </w:lvl>
  </w:abstractNum>
  <w:abstractNum w:abstractNumId="56" w15:restartNumberingAfterBreak="0">
    <w:nsid w:val="4A2121E7"/>
    <w:multiLevelType w:val="hybridMultilevel"/>
    <w:tmpl w:val="87BE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B00BD9"/>
    <w:multiLevelType w:val="hybridMultilevel"/>
    <w:tmpl w:val="56E88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B0C4F94"/>
    <w:multiLevelType w:val="hybridMultilevel"/>
    <w:tmpl w:val="408A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4B385F8C"/>
    <w:multiLevelType w:val="hybridMultilevel"/>
    <w:tmpl w:val="5504E5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D127B12"/>
    <w:multiLevelType w:val="hybridMultilevel"/>
    <w:tmpl w:val="6F86CD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4DEA417A"/>
    <w:multiLevelType w:val="hybridMultilevel"/>
    <w:tmpl w:val="60A2809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3" w15:restartNumberingAfterBreak="0">
    <w:nsid w:val="4E696573"/>
    <w:multiLevelType w:val="hybridMultilevel"/>
    <w:tmpl w:val="8034D9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160" w:hanging="360"/>
      </w:pPr>
      <w:rPr>
        <w:rFonts w:ascii="Calibri" w:eastAsiaTheme="minorHAnsi" w:hAnsi="Calibri" w:cs="Calibri" w:hint="default"/>
      </w:rPr>
    </w:lvl>
    <w:lvl w:ilvl="3" w:tplc="95405074">
      <w:start w:val="2"/>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1E04C39"/>
    <w:multiLevelType w:val="hybridMultilevel"/>
    <w:tmpl w:val="6CA8C79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2D33016"/>
    <w:multiLevelType w:val="hybridMultilevel"/>
    <w:tmpl w:val="EE68910E"/>
    <w:lvl w:ilvl="0" w:tplc="FFFFFFFF">
      <w:start w:val="1"/>
      <w:numFmt w:val="decimal"/>
      <w:lvlText w:val="%1."/>
      <w:lvlJc w:val="left"/>
      <w:pPr>
        <w:ind w:left="927" w:hanging="360"/>
      </w:pPr>
      <w:rPr>
        <w:rFonts w:hint="default"/>
      </w:rPr>
    </w:lvl>
    <w:lvl w:ilvl="1" w:tplc="27A0A768">
      <w:start w:val="1"/>
      <w:numFmt w:val="bullet"/>
      <w:lvlText w:val="-"/>
      <w:lvlJc w:val="left"/>
      <w:pPr>
        <w:ind w:left="1647" w:hanging="360"/>
      </w:pPr>
      <w:rPr>
        <w:rFonts w:ascii="Courier New" w:hAnsi="Courier New"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6" w15:restartNumberingAfterBreak="0">
    <w:nsid w:val="546D1F08"/>
    <w:multiLevelType w:val="hybridMultilevel"/>
    <w:tmpl w:val="9284379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6BD68E8"/>
    <w:multiLevelType w:val="hybridMultilevel"/>
    <w:tmpl w:val="A5AA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56EE3865"/>
    <w:multiLevelType w:val="hybridMultilevel"/>
    <w:tmpl w:val="5AEEF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A470F0"/>
    <w:multiLevelType w:val="hybridMultilevel"/>
    <w:tmpl w:val="D2C8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7AD53E2"/>
    <w:multiLevelType w:val="hybridMultilevel"/>
    <w:tmpl w:val="C0FE6038"/>
    <w:lvl w:ilvl="0" w:tplc="4FE20D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A9A026B"/>
    <w:multiLevelType w:val="multilevel"/>
    <w:tmpl w:val="1D12805A"/>
    <w:lvl w:ilvl="0">
      <w:start w:val="1"/>
      <w:numFmt w:val="lowerRoman"/>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3" w15:restartNumberingAfterBreak="0">
    <w:nsid w:val="5BBB59BA"/>
    <w:multiLevelType w:val="hybridMultilevel"/>
    <w:tmpl w:val="100CFF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95405074">
      <w:start w:val="2"/>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5CBB3470"/>
    <w:multiLevelType w:val="hybridMultilevel"/>
    <w:tmpl w:val="C6228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CD93CDD"/>
    <w:multiLevelType w:val="hybridMultilevel"/>
    <w:tmpl w:val="19A05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135C7B"/>
    <w:multiLevelType w:val="hybridMultilevel"/>
    <w:tmpl w:val="1CE2809E"/>
    <w:lvl w:ilvl="0" w:tplc="C888BB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C52D1A"/>
    <w:multiLevelType w:val="hybridMultilevel"/>
    <w:tmpl w:val="7A0CC22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67DF1A62"/>
    <w:multiLevelType w:val="hybridMultilevel"/>
    <w:tmpl w:val="C8A4C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9D8558F"/>
    <w:multiLevelType w:val="hybridMultilevel"/>
    <w:tmpl w:val="5504E5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6A0C122F"/>
    <w:multiLevelType w:val="hybridMultilevel"/>
    <w:tmpl w:val="97C29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A743D8D"/>
    <w:multiLevelType w:val="hybridMultilevel"/>
    <w:tmpl w:val="5504E5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6F0B3C19"/>
    <w:multiLevelType w:val="hybridMultilevel"/>
    <w:tmpl w:val="81507A1C"/>
    <w:lvl w:ilvl="0" w:tplc="0C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85" w15:restartNumberingAfterBreak="0">
    <w:nsid w:val="709C6D85"/>
    <w:multiLevelType w:val="hybridMultilevel"/>
    <w:tmpl w:val="BCD6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12C6B09"/>
    <w:multiLevelType w:val="hybridMultilevel"/>
    <w:tmpl w:val="18CE1C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2C13637"/>
    <w:multiLevelType w:val="hybridMultilevel"/>
    <w:tmpl w:val="17127ED2"/>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8" w15:restartNumberingAfterBreak="0">
    <w:nsid w:val="7409458C"/>
    <w:multiLevelType w:val="hybridMultilevel"/>
    <w:tmpl w:val="922AF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74B2321C"/>
    <w:multiLevelType w:val="hybridMultilevel"/>
    <w:tmpl w:val="2730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5D95CA4"/>
    <w:multiLevelType w:val="hybridMultilevel"/>
    <w:tmpl w:val="B11C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643285C"/>
    <w:multiLevelType w:val="hybridMultilevel"/>
    <w:tmpl w:val="19647E8A"/>
    <w:lvl w:ilvl="0" w:tplc="0C090017">
      <w:start w:val="1"/>
      <w:numFmt w:val="lowerLetter"/>
      <w:lvlText w:val="%1)"/>
      <w:lvlJc w:val="left"/>
      <w:pPr>
        <w:ind w:left="927" w:hanging="360"/>
      </w:pPr>
      <w:rPr>
        <w:rFonts w:hint="default"/>
      </w:rPr>
    </w:lvl>
    <w:lvl w:ilvl="1" w:tplc="FFFFFFFF">
      <w:start w:val="1"/>
      <w:numFmt w:val="bullet"/>
      <w:lvlText w:val="-"/>
      <w:lvlJc w:val="left"/>
      <w:pPr>
        <w:ind w:left="1647" w:hanging="360"/>
      </w:pPr>
      <w:rPr>
        <w:rFonts w:ascii="Courier New" w:hAnsi="Courier New"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93" w15:restartNumberingAfterBreak="0">
    <w:nsid w:val="76740B94"/>
    <w:multiLevelType w:val="hybridMultilevel"/>
    <w:tmpl w:val="B3C8A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C93EC4"/>
    <w:multiLevelType w:val="hybridMultilevel"/>
    <w:tmpl w:val="8BFE3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9504DF"/>
    <w:multiLevelType w:val="hybridMultilevel"/>
    <w:tmpl w:val="1A14D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D2E15D8"/>
    <w:multiLevelType w:val="hybridMultilevel"/>
    <w:tmpl w:val="2D503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DE34C8F"/>
    <w:multiLevelType w:val="hybridMultilevel"/>
    <w:tmpl w:val="7A0CC22C"/>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6"/>
  </w:num>
  <w:num w:numId="4">
    <w:abstractNumId w:val="96"/>
  </w:num>
  <w:num w:numId="5">
    <w:abstractNumId w:val="83"/>
  </w:num>
  <w:num w:numId="6">
    <w:abstractNumId w:val="83"/>
  </w:num>
  <w:num w:numId="7">
    <w:abstractNumId w:val="89"/>
  </w:num>
  <w:num w:numId="8">
    <w:abstractNumId w:val="89"/>
  </w:num>
  <w:num w:numId="9">
    <w:abstractNumId w:val="20"/>
  </w:num>
  <w:num w:numId="10">
    <w:abstractNumId w:val="20"/>
  </w:num>
  <w:num w:numId="11">
    <w:abstractNumId w:val="53"/>
  </w:num>
  <w:num w:numId="12">
    <w:abstractNumId w:val="53"/>
  </w:num>
  <w:num w:numId="13">
    <w:abstractNumId w:val="68"/>
  </w:num>
  <w:num w:numId="14">
    <w:abstractNumId w:val="68"/>
  </w:num>
  <w:num w:numId="15">
    <w:abstractNumId w:val="78"/>
  </w:num>
  <w:num w:numId="16">
    <w:abstractNumId w:val="78"/>
  </w:num>
  <w:num w:numId="17">
    <w:abstractNumId w:val="59"/>
  </w:num>
  <w:num w:numId="18">
    <w:abstractNumId w:val="59"/>
  </w:num>
  <w:num w:numId="19">
    <w:abstractNumId w:val="14"/>
  </w:num>
  <w:num w:numId="20">
    <w:abstractNumId w:val="14"/>
  </w:num>
  <w:num w:numId="21">
    <w:abstractNumId w:val="38"/>
  </w:num>
  <w:num w:numId="22">
    <w:abstractNumId w:val="38"/>
  </w:num>
  <w:num w:numId="23">
    <w:abstractNumId w:val="74"/>
  </w:num>
  <w:num w:numId="24">
    <w:abstractNumId w:val="74"/>
  </w:num>
  <w:num w:numId="25">
    <w:abstractNumId w:val="42"/>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34"/>
  </w:num>
  <w:num w:numId="30">
    <w:abstractNumId w:val="34"/>
  </w:num>
  <w:num w:numId="31">
    <w:abstractNumId w:val="48"/>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num>
  <w:num w:numId="34">
    <w:abstractNumId w:val="66"/>
  </w:num>
  <w:num w:numId="35">
    <w:abstractNumId w:val="11"/>
  </w:num>
  <w:num w:numId="36">
    <w:abstractNumId w:val="28"/>
  </w:num>
  <w:num w:numId="37">
    <w:abstractNumId w:val="30"/>
  </w:num>
  <w:num w:numId="38">
    <w:abstractNumId w:val="24"/>
  </w:num>
  <w:num w:numId="39">
    <w:abstractNumId w:val="77"/>
  </w:num>
  <w:num w:numId="40">
    <w:abstractNumId w:val="51"/>
  </w:num>
  <w:num w:numId="41">
    <w:abstractNumId w:val="71"/>
  </w:num>
  <w:num w:numId="42">
    <w:abstractNumId w:val="64"/>
  </w:num>
  <w:num w:numId="43">
    <w:abstractNumId w:val="41"/>
  </w:num>
  <w:num w:numId="44">
    <w:abstractNumId w:val="2"/>
  </w:num>
  <w:num w:numId="45">
    <w:abstractNumId w:val="70"/>
  </w:num>
  <w:num w:numId="46">
    <w:abstractNumId w:val="13"/>
  </w:num>
  <w:num w:numId="47">
    <w:abstractNumId w:val="1"/>
  </w:num>
  <w:num w:numId="48">
    <w:abstractNumId w:val="18"/>
  </w:num>
  <w:num w:numId="49">
    <w:abstractNumId w:val="82"/>
  </w:num>
  <w:num w:numId="50">
    <w:abstractNumId w:val="23"/>
  </w:num>
  <w:num w:numId="51">
    <w:abstractNumId w:val="52"/>
  </w:num>
  <w:num w:numId="52">
    <w:abstractNumId w:val="44"/>
  </w:num>
  <w:num w:numId="53">
    <w:abstractNumId w:val="17"/>
  </w:num>
  <w:num w:numId="54">
    <w:abstractNumId w:val="79"/>
  </w:num>
  <w:num w:numId="55">
    <w:abstractNumId w:val="16"/>
  </w:num>
  <w:num w:numId="56">
    <w:abstractNumId w:val="61"/>
  </w:num>
  <w:num w:numId="57">
    <w:abstractNumId w:val="21"/>
  </w:num>
  <w:num w:numId="58">
    <w:abstractNumId w:val="45"/>
  </w:num>
  <w:num w:numId="59">
    <w:abstractNumId w:val="25"/>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33"/>
  </w:num>
  <w:num w:numId="63">
    <w:abstractNumId w:val="69"/>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lvlOverride w:ilvl="2"/>
    <w:lvlOverride w:ilvl="3"/>
    <w:lvlOverride w:ilvl="4"/>
    <w:lvlOverride w:ilvl="5"/>
    <w:lvlOverride w:ilvl="6"/>
    <w:lvlOverride w:ilvl="7"/>
    <w:lvlOverride w:ilvl="8"/>
  </w:num>
  <w:num w:numId="66">
    <w:abstractNumId w:val="40"/>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32"/>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4"/>
  </w:num>
  <w:num w:numId="73">
    <w:abstractNumId w:val="6"/>
  </w:num>
  <w:num w:numId="74">
    <w:abstractNumId w:val="90"/>
  </w:num>
  <w:num w:numId="75">
    <w:abstractNumId w:val="91"/>
  </w:num>
  <w:num w:numId="76">
    <w:abstractNumId w:val="72"/>
  </w:num>
  <w:num w:numId="77">
    <w:abstractNumId w:val="9"/>
  </w:num>
  <w:num w:numId="78">
    <w:abstractNumId w:val="95"/>
  </w:num>
  <w:num w:numId="79">
    <w:abstractNumId w:val="50"/>
  </w:num>
  <w:num w:numId="80">
    <w:abstractNumId w:val="12"/>
  </w:num>
  <w:num w:numId="81">
    <w:abstractNumId w:val="55"/>
  </w:num>
  <w:num w:numId="82">
    <w:abstractNumId w:val="87"/>
  </w:num>
  <w:num w:numId="83">
    <w:abstractNumId w:val="54"/>
  </w:num>
  <w:num w:numId="84">
    <w:abstractNumId w:val="67"/>
  </w:num>
  <w:num w:numId="85">
    <w:abstractNumId w:val="22"/>
  </w:num>
  <w:num w:numId="86">
    <w:abstractNumId w:val="49"/>
  </w:num>
  <w:num w:numId="87">
    <w:abstractNumId w:val="94"/>
  </w:num>
  <w:num w:numId="88">
    <w:abstractNumId w:val="47"/>
  </w:num>
  <w:num w:numId="89">
    <w:abstractNumId w:val="36"/>
  </w:num>
  <w:num w:numId="90">
    <w:abstractNumId w:val="84"/>
  </w:num>
  <w:num w:numId="91">
    <w:abstractNumId w:val="29"/>
  </w:num>
  <w:num w:numId="92">
    <w:abstractNumId w:val="73"/>
  </w:num>
  <w:num w:numId="93">
    <w:abstractNumId w:val="63"/>
  </w:num>
  <w:num w:numId="94">
    <w:abstractNumId w:val="35"/>
  </w:num>
  <w:num w:numId="95">
    <w:abstractNumId w:val="58"/>
  </w:num>
  <w:num w:numId="96">
    <w:abstractNumId w:val="75"/>
  </w:num>
  <w:num w:numId="97">
    <w:abstractNumId w:val="57"/>
  </w:num>
  <w:num w:numId="98">
    <w:abstractNumId w:val="81"/>
  </w:num>
  <w:num w:numId="99">
    <w:abstractNumId w:val="26"/>
  </w:num>
  <w:num w:numId="100">
    <w:abstractNumId w:val="15"/>
  </w:num>
  <w:num w:numId="101">
    <w:abstractNumId w:val="86"/>
  </w:num>
  <w:num w:numId="102">
    <w:abstractNumId w:val="31"/>
  </w:num>
  <w:num w:numId="103">
    <w:abstractNumId w:val="10"/>
  </w:num>
  <w:num w:numId="104">
    <w:abstractNumId w:val="27"/>
  </w:num>
  <w:num w:numId="105">
    <w:abstractNumId w:val="85"/>
  </w:num>
  <w:num w:numId="106">
    <w:abstractNumId w:val="56"/>
  </w:num>
  <w:num w:numId="107">
    <w:abstractNumId w:val="39"/>
  </w:num>
  <w:num w:numId="108">
    <w:abstractNumId w:val="80"/>
  </w:num>
  <w:num w:numId="109">
    <w:abstractNumId w:val="60"/>
  </w:num>
  <w:num w:numId="110">
    <w:abstractNumId w:val="88"/>
  </w:num>
  <w:num w:numId="111">
    <w:abstractNumId w:val="37"/>
  </w:num>
  <w:num w:numId="112">
    <w:abstractNumId w:val="76"/>
  </w:num>
  <w:num w:numId="113">
    <w:abstractNumId w:val="97"/>
  </w:num>
  <w:num w:numId="114">
    <w:abstractNumId w:val="5"/>
  </w:num>
  <w:num w:numId="115">
    <w:abstractNumId w:val="3"/>
  </w:num>
  <w:num w:numId="116">
    <w:abstractNumId w:val="65"/>
  </w:num>
  <w:num w:numId="117">
    <w:abstractNumId w:val="43"/>
  </w:num>
  <w:num w:numId="118">
    <w:abstractNumId w:val="46"/>
  </w:num>
  <w:num w:numId="119">
    <w:abstractNumId w:val="92"/>
  </w:num>
  <w:num w:numId="120">
    <w:abstractNumId w:val="9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14"/>
    <w:rsid w:val="000003A8"/>
    <w:rsid w:val="00002E48"/>
    <w:rsid w:val="0000348A"/>
    <w:rsid w:val="00004E5B"/>
    <w:rsid w:val="000139DB"/>
    <w:rsid w:val="0001452E"/>
    <w:rsid w:val="000146E6"/>
    <w:rsid w:val="0002070D"/>
    <w:rsid w:val="0002169C"/>
    <w:rsid w:val="00023133"/>
    <w:rsid w:val="00023957"/>
    <w:rsid w:val="00025E6C"/>
    <w:rsid w:val="00026643"/>
    <w:rsid w:val="0004119C"/>
    <w:rsid w:val="00041D6C"/>
    <w:rsid w:val="00043FC3"/>
    <w:rsid w:val="000453AC"/>
    <w:rsid w:val="00045B2F"/>
    <w:rsid w:val="00051FCD"/>
    <w:rsid w:val="00057FD7"/>
    <w:rsid w:val="00062AD8"/>
    <w:rsid w:val="00062BC7"/>
    <w:rsid w:val="000707F5"/>
    <w:rsid w:val="00071587"/>
    <w:rsid w:val="000748B7"/>
    <w:rsid w:val="00077FC9"/>
    <w:rsid w:val="000838E3"/>
    <w:rsid w:val="00087DAC"/>
    <w:rsid w:val="00092835"/>
    <w:rsid w:val="000935B8"/>
    <w:rsid w:val="00096B38"/>
    <w:rsid w:val="000A088D"/>
    <w:rsid w:val="000A1325"/>
    <w:rsid w:val="000A2AB2"/>
    <w:rsid w:val="000A3CE2"/>
    <w:rsid w:val="000A4184"/>
    <w:rsid w:val="000A46A4"/>
    <w:rsid w:val="000A4B41"/>
    <w:rsid w:val="000B15BC"/>
    <w:rsid w:val="000B2685"/>
    <w:rsid w:val="000B2AE1"/>
    <w:rsid w:val="000B59DA"/>
    <w:rsid w:val="000B7E4D"/>
    <w:rsid w:val="000C1964"/>
    <w:rsid w:val="000C24B8"/>
    <w:rsid w:val="000C4360"/>
    <w:rsid w:val="000C4B59"/>
    <w:rsid w:val="000C5BDF"/>
    <w:rsid w:val="000C66FF"/>
    <w:rsid w:val="000C7E45"/>
    <w:rsid w:val="000D0CE3"/>
    <w:rsid w:val="000D20B1"/>
    <w:rsid w:val="000D29AA"/>
    <w:rsid w:val="000D2AE0"/>
    <w:rsid w:val="000D3B49"/>
    <w:rsid w:val="000D7A01"/>
    <w:rsid w:val="000E13A7"/>
    <w:rsid w:val="000E1634"/>
    <w:rsid w:val="000E1DD7"/>
    <w:rsid w:val="000E3EDF"/>
    <w:rsid w:val="000F006D"/>
    <w:rsid w:val="000F086E"/>
    <w:rsid w:val="000F0A93"/>
    <w:rsid w:val="000F1176"/>
    <w:rsid w:val="000F59F0"/>
    <w:rsid w:val="0010637A"/>
    <w:rsid w:val="001066DB"/>
    <w:rsid w:val="00106D77"/>
    <w:rsid w:val="00107500"/>
    <w:rsid w:val="00113F7A"/>
    <w:rsid w:val="00115B9F"/>
    <w:rsid w:val="00115D74"/>
    <w:rsid w:val="0012643E"/>
    <w:rsid w:val="0012675A"/>
    <w:rsid w:val="00126CF2"/>
    <w:rsid w:val="001305A8"/>
    <w:rsid w:val="001336A5"/>
    <w:rsid w:val="00134A7E"/>
    <w:rsid w:val="00140F69"/>
    <w:rsid w:val="0014295E"/>
    <w:rsid w:val="00143A8C"/>
    <w:rsid w:val="00144DE5"/>
    <w:rsid w:val="00146635"/>
    <w:rsid w:val="00152D34"/>
    <w:rsid w:val="00153A0F"/>
    <w:rsid w:val="001560B0"/>
    <w:rsid w:val="00164FC6"/>
    <w:rsid w:val="0016570A"/>
    <w:rsid w:val="001675B5"/>
    <w:rsid w:val="00180EA3"/>
    <w:rsid w:val="001810CA"/>
    <w:rsid w:val="00184A4B"/>
    <w:rsid w:val="00185854"/>
    <w:rsid w:val="00190C56"/>
    <w:rsid w:val="00192C28"/>
    <w:rsid w:val="00194C89"/>
    <w:rsid w:val="00194D2C"/>
    <w:rsid w:val="00195894"/>
    <w:rsid w:val="001962BF"/>
    <w:rsid w:val="0019673C"/>
    <w:rsid w:val="001969CA"/>
    <w:rsid w:val="001A0624"/>
    <w:rsid w:val="001A320A"/>
    <w:rsid w:val="001A501B"/>
    <w:rsid w:val="001A55C5"/>
    <w:rsid w:val="001A6775"/>
    <w:rsid w:val="001A6E64"/>
    <w:rsid w:val="001A71A0"/>
    <w:rsid w:val="001A76F1"/>
    <w:rsid w:val="001B0485"/>
    <w:rsid w:val="001B2EA7"/>
    <w:rsid w:val="001B3B37"/>
    <w:rsid w:val="001B5335"/>
    <w:rsid w:val="001B5598"/>
    <w:rsid w:val="001C1565"/>
    <w:rsid w:val="001C27B3"/>
    <w:rsid w:val="001C35AE"/>
    <w:rsid w:val="001C3E14"/>
    <w:rsid w:val="001C4C6D"/>
    <w:rsid w:val="001C4F39"/>
    <w:rsid w:val="001C6AFE"/>
    <w:rsid w:val="001D0D0C"/>
    <w:rsid w:val="001D3329"/>
    <w:rsid w:val="001D6652"/>
    <w:rsid w:val="001E08EE"/>
    <w:rsid w:val="001E4550"/>
    <w:rsid w:val="001E4C07"/>
    <w:rsid w:val="001E6778"/>
    <w:rsid w:val="001E6FE5"/>
    <w:rsid w:val="001F03EE"/>
    <w:rsid w:val="001F0C03"/>
    <w:rsid w:val="001F12EE"/>
    <w:rsid w:val="001F2544"/>
    <w:rsid w:val="001F273D"/>
    <w:rsid w:val="001F288B"/>
    <w:rsid w:val="001F3388"/>
    <w:rsid w:val="001F47A0"/>
    <w:rsid w:val="001F4984"/>
    <w:rsid w:val="001F4CB6"/>
    <w:rsid w:val="001F5082"/>
    <w:rsid w:val="001F55AD"/>
    <w:rsid w:val="001F62A5"/>
    <w:rsid w:val="001F7709"/>
    <w:rsid w:val="001F7C24"/>
    <w:rsid w:val="00200ACF"/>
    <w:rsid w:val="0020265D"/>
    <w:rsid w:val="0020685C"/>
    <w:rsid w:val="00206B28"/>
    <w:rsid w:val="00207DCC"/>
    <w:rsid w:val="002108A8"/>
    <w:rsid w:val="0021565B"/>
    <w:rsid w:val="00215D48"/>
    <w:rsid w:val="00221040"/>
    <w:rsid w:val="0022187E"/>
    <w:rsid w:val="00232D86"/>
    <w:rsid w:val="002345B5"/>
    <w:rsid w:val="002365CA"/>
    <w:rsid w:val="00243DFA"/>
    <w:rsid w:val="00245995"/>
    <w:rsid w:val="00246AE2"/>
    <w:rsid w:val="00247A41"/>
    <w:rsid w:val="00253C3A"/>
    <w:rsid w:val="00253F60"/>
    <w:rsid w:val="002540DC"/>
    <w:rsid w:val="002550A5"/>
    <w:rsid w:val="00255761"/>
    <w:rsid w:val="00257709"/>
    <w:rsid w:val="0026022C"/>
    <w:rsid w:val="0026091B"/>
    <w:rsid w:val="0026156B"/>
    <w:rsid w:val="002647BD"/>
    <w:rsid w:val="00273B22"/>
    <w:rsid w:val="00276271"/>
    <w:rsid w:val="0028262C"/>
    <w:rsid w:val="00282FBD"/>
    <w:rsid w:val="00283160"/>
    <w:rsid w:val="0028493F"/>
    <w:rsid w:val="0028662A"/>
    <w:rsid w:val="002870B5"/>
    <w:rsid w:val="00291AED"/>
    <w:rsid w:val="0029231C"/>
    <w:rsid w:val="002928AB"/>
    <w:rsid w:val="002943D4"/>
    <w:rsid w:val="00295D02"/>
    <w:rsid w:val="002A54F4"/>
    <w:rsid w:val="002B1B60"/>
    <w:rsid w:val="002B38EE"/>
    <w:rsid w:val="002B4F74"/>
    <w:rsid w:val="002B63B2"/>
    <w:rsid w:val="002B70F8"/>
    <w:rsid w:val="002C005B"/>
    <w:rsid w:val="002C3C2A"/>
    <w:rsid w:val="002C6A5D"/>
    <w:rsid w:val="002C6A93"/>
    <w:rsid w:val="002C77C0"/>
    <w:rsid w:val="002D2EFF"/>
    <w:rsid w:val="002D3E6A"/>
    <w:rsid w:val="002D5AEE"/>
    <w:rsid w:val="002D6272"/>
    <w:rsid w:val="002E508C"/>
    <w:rsid w:val="002E671D"/>
    <w:rsid w:val="002F29C1"/>
    <w:rsid w:val="002F5F94"/>
    <w:rsid w:val="002F7676"/>
    <w:rsid w:val="00300DBE"/>
    <w:rsid w:val="00301774"/>
    <w:rsid w:val="00310503"/>
    <w:rsid w:val="00310C3D"/>
    <w:rsid w:val="0031124E"/>
    <w:rsid w:val="0031274A"/>
    <w:rsid w:val="00320479"/>
    <w:rsid w:val="00321D88"/>
    <w:rsid w:val="00323FC3"/>
    <w:rsid w:val="003241FA"/>
    <w:rsid w:val="003265C0"/>
    <w:rsid w:val="00326E07"/>
    <w:rsid w:val="00327A79"/>
    <w:rsid w:val="00335A2E"/>
    <w:rsid w:val="00340D86"/>
    <w:rsid w:val="00344473"/>
    <w:rsid w:val="00346005"/>
    <w:rsid w:val="00346B3F"/>
    <w:rsid w:val="00351DCA"/>
    <w:rsid w:val="0035295C"/>
    <w:rsid w:val="0035794D"/>
    <w:rsid w:val="00361261"/>
    <w:rsid w:val="0036286B"/>
    <w:rsid w:val="003639A9"/>
    <w:rsid w:val="00367F08"/>
    <w:rsid w:val="0037159F"/>
    <w:rsid w:val="003726B7"/>
    <w:rsid w:val="00373EBC"/>
    <w:rsid w:val="00377064"/>
    <w:rsid w:val="00377738"/>
    <w:rsid w:val="00386AB7"/>
    <w:rsid w:val="003877F5"/>
    <w:rsid w:val="003908A5"/>
    <w:rsid w:val="00391869"/>
    <w:rsid w:val="0039211B"/>
    <w:rsid w:val="00392AFD"/>
    <w:rsid w:val="00395AD8"/>
    <w:rsid w:val="00396ADD"/>
    <w:rsid w:val="003A071F"/>
    <w:rsid w:val="003A1166"/>
    <w:rsid w:val="003A1E79"/>
    <w:rsid w:val="003A53A7"/>
    <w:rsid w:val="003B0EC8"/>
    <w:rsid w:val="003B10CB"/>
    <w:rsid w:val="003B2572"/>
    <w:rsid w:val="003B2698"/>
    <w:rsid w:val="003C0701"/>
    <w:rsid w:val="003C27E8"/>
    <w:rsid w:val="003C491D"/>
    <w:rsid w:val="003D05A7"/>
    <w:rsid w:val="003D4A04"/>
    <w:rsid w:val="003D744F"/>
    <w:rsid w:val="003E03ED"/>
    <w:rsid w:val="003E1B8F"/>
    <w:rsid w:val="003E43CD"/>
    <w:rsid w:val="003E5EED"/>
    <w:rsid w:val="003F45FA"/>
    <w:rsid w:val="003F52B3"/>
    <w:rsid w:val="003F6863"/>
    <w:rsid w:val="00403357"/>
    <w:rsid w:val="004051FF"/>
    <w:rsid w:val="004053BB"/>
    <w:rsid w:val="00405E1F"/>
    <w:rsid w:val="00411AE0"/>
    <w:rsid w:val="00411C7E"/>
    <w:rsid w:val="00421E63"/>
    <w:rsid w:val="0042228B"/>
    <w:rsid w:val="00422473"/>
    <w:rsid w:val="004249A5"/>
    <w:rsid w:val="0042620F"/>
    <w:rsid w:val="00426E67"/>
    <w:rsid w:val="00427470"/>
    <w:rsid w:val="0043059E"/>
    <w:rsid w:val="004338B6"/>
    <w:rsid w:val="00440152"/>
    <w:rsid w:val="00444806"/>
    <w:rsid w:val="00445169"/>
    <w:rsid w:val="00447954"/>
    <w:rsid w:val="0045097D"/>
    <w:rsid w:val="00450DF7"/>
    <w:rsid w:val="004517AA"/>
    <w:rsid w:val="004552C5"/>
    <w:rsid w:val="0045649A"/>
    <w:rsid w:val="00457B06"/>
    <w:rsid w:val="00460393"/>
    <w:rsid w:val="00463DE2"/>
    <w:rsid w:val="004658F6"/>
    <w:rsid w:val="00467488"/>
    <w:rsid w:val="00475BA6"/>
    <w:rsid w:val="00475F2E"/>
    <w:rsid w:val="00476491"/>
    <w:rsid w:val="0047656D"/>
    <w:rsid w:val="0048290C"/>
    <w:rsid w:val="004856C5"/>
    <w:rsid w:val="0048734D"/>
    <w:rsid w:val="0048782F"/>
    <w:rsid w:val="00495A5F"/>
    <w:rsid w:val="00495ED3"/>
    <w:rsid w:val="00497E93"/>
    <w:rsid w:val="004A4FAB"/>
    <w:rsid w:val="004A6621"/>
    <w:rsid w:val="004B2C28"/>
    <w:rsid w:val="004B3FF9"/>
    <w:rsid w:val="004B4819"/>
    <w:rsid w:val="004B7F69"/>
    <w:rsid w:val="004C02E6"/>
    <w:rsid w:val="004C1891"/>
    <w:rsid w:val="004C4C94"/>
    <w:rsid w:val="004C685E"/>
    <w:rsid w:val="004D22B0"/>
    <w:rsid w:val="004D24E0"/>
    <w:rsid w:val="004D342B"/>
    <w:rsid w:val="004D5BF7"/>
    <w:rsid w:val="004D5FFC"/>
    <w:rsid w:val="004E146D"/>
    <w:rsid w:val="004E3873"/>
    <w:rsid w:val="004E3FD1"/>
    <w:rsid w:val="004E4B3F"/>
    <w:rsid w:val="004E4B45"/>
    <w:rsid w:val="004E4D14"/>
    <w:rsid w:val="004E66EF"/>
    <w:rsid w:val="004E6AB2"/>
    <w:rsid w:val="004F5A4A"/>
    <w:rsid w:val="004F5E8F"/>
    <w:rsid w:val="004F6E91"/>
    <w:rsid w:val="00500327"/>
    <w:rsid w:val="005055C8"/>
    <w:rsid w:val="005076FD"/>
    <w:rsid w:val="00507B4D"/>
    <w:rsid w:val="00520642"/>
    <w:rsid w:val="00520D22"/>
    <w:rsid w:val="005217D2"/>
    <w:rsid w:val="005218E2"/>
    <w:rsid w:val="00522584"/>
    <w:rsid w:val="0052278D"/>
    <w:rsid w:val="005227A1"/>
    <w:rsid w:val="00522EB6"/>
    <w:rsid w:val="005237DB"/>
    <w:rsid w:val="005244D4"/>
    <w:rsid w:val="00530A81"/>
    <w:rsid w:val="00533C7E"/>
    <w:rsid w:val="005340D8"/>
    <w:rsid w:val="00535815"/>
    <w:rsid w:val="00540307"/>
    <w:rsid w:val="0054263E"/>
    <w:rsid w:val="00545CB5"/>
    <w:rsid w:val="005461D5"/>
    <w:rsid w:val="0055495D"/>
    <w:rsid w:val="005555E5"/>
    <w:rsid w:val="005575AD"/>
    <w:rsid w:val="005624C1"/>
    <w:rsid w:val="00567360"/>
    <w:rsid w:val="00570B89"/>
    <w:rsid w:val="00574E98"/>
    <w:rsid w:val="0057758F"/>
    <w:rsid w:val="0057767F"/>
    <w:rsid w:val="00577EFA"/>
    <w:rsid w:val="00581690"/>
    <w:rsid w:val="00583356"/>
    <w:rsid w:val="00583EBF"/>
    <w:rsid w:val="005852A5"/>
    <w:rsid w:val="00591B78"/>
    <w:rsid w:val="00592424"/>
    <w:rsid w:val="005956B2"/>
    <w:rsid w:val="00597517"/>
    <w:rsid w:val="005A2143"/>
    <w:rsid w:val="005A580B"/>
    <w:rsid w:val="005B043D"/>
    <w:rsid w:val="005B0EF6"/>
    <w:rsid w:val="005B22D5"/>
    <w:rsid w:val="005B283D"/>
    <w:rsid w:val="005C1D62"/>
    <w:rsid w:val="005C7B01"/>
    <w:rsid w:val="005D0302"/>
    <w:rsid w:val="005D18AC"/>
    <w:rsid w:val="005D2A73"/>
    <w:rsid w:val="005D3C37"/>
    <w:rsid w:val="005D580C"/>
    <w:rsid w:val="005D663E"/>
    <w:rsid w:val="005E14B4"/>
    <w:rsid w:val="005E3674"/>
    <w:rsid w:val="005E579F"/>
    <w:rsid w:val="005E5CC6"/>
    <w:rsid w:val="005F1948"/>
    <w:rsid w:val="005F5A4B"/>
    <w:rsid w:val="005F5E25"/>
    <w:rsid w:val="005F6B75"/>
    <w:rsid w:val="0060066C"/>
    <w:rsid w:val="00602AF9"/>
    <w:rsid w:val="006058A4"/>
    <w:rsid w:val="00605D25"/>
    <w:rsid w:val="0061236D"/>
    <w:rsid w:val="006125AB"/>
    <w:rsid w:val="006126EA"/>
    <w:rsid w:val="00612B8A"/>
    <w:rsid w:val="00615F14"/>
    <w:rsid w:val="006160A9"/>
    <w:rsid w:val="0061653F"/>
    <w:rsid w:val="00617B80"/>
    <w:rsid w:val="006218A5"/>
    <w:rsid w:val="0062288A"/>
    <w:rsid w:val="006228FE"/>
    <w:rsid w:val="00623D36"/>
    <w:rsid w:val="0062429D"/>
    <w:rsid w:val="00627AA6"/>
    <w:rsid w:val="00630660"/>
    <w:rsid w:val="006467F0"/>
    <w:rsid w:val="00647BAF"/>
    <w:rsid w:val="006529F2"/>
    <w:rsid w:val="00652A93"/>
    <w:rsid w:val="006531F1"/>
    <w:rsid w:val="00660876"/>
    <w:rsid w:val="00661FF6"/>
    <w:rsid w:val="00662281"/>
    <w:rsid w:val="0066250A"/>
    <w:rsid w:val="00663595"/>
    <w:rsid w:val="00664621"/>
    <w:rsid w:val="00665B5B"/>
    <w:rsid w:val="006665B6"/>
    <w:rsid w:val="00667FA0"/>
    <w:rsid w:val="00670371"/>
    <w:rsid w:val="00670874"/>
    <w:rsid w:val="00671466"/>
    <w:rsid w:val="00671556"/>
    <w:rsid w:val="00672C61"/>
    <w:rsid w:val="0067317C"/>
    <w:rsid w:val="00673370"/>
    <w:rsid w:val="00674637"/>
    <w:rsid w:val="00675444"/>
    <w:rsid w:val="00683EAF"/>
    <w:rsid w:val="006846BC"/>
    <w:rsid w:val="00684B98"/>
    <w:rsid w:val="00684F1A"/>
    <w:rsid w:val="00687E37"/>
    <w:rsid w:val="00691C77"/>
    <w:rsid w:val="00694818"/>
    <w:rsid w:val="00694AD1"/>
    <w:rsid w:val="00695761"/>
    <w:rsid w:val="0069627A"/>
    <w:rsid w:val="0069754B"/>
    <w:rsid w:val="006A1D99"/>
    <w:rsid w:val="006A2618"/>
    <w:rsid w:val="006A47E7"/>
    <w:rsid w:val="006A5582"/>
    <w:rsid w:val="006B095F"/>
    <w:rsid w:val="006B20E8"/>
    <w:rsid w:val="006B5421"/>
    <w:rsid w:val="006B71A2"/>
    <w:rsid w:val="006B7EDF"/>
    <w:rsid w:val="006C0219"/>
    <w:rsid w:val="006C2678"/>
    <w:rsid w:val="006C4652"/>
    <w:rsid w:val="006D43D5"/>
    <w:rsid w:val="006D6485"/>
    <w:rsid w:val="006D7C45"/>
    <w:rsid w:val="006E0FE9"/>
    <w:rsid w:val="006E19BA"/>
    <w:rsid w:val="006E5E81"/>
    <w:rsid w:val="006E7A8D"/>
    <w:rsid w:val="006F1427"/>
    <w:rsid w:val="006F4688"/>
    <w:rsid w:val="006F528E"/>
    <w:rsid w:val="00700EE5"/>
    <w:rsid w:val="00702387"/>
    <w:rsid w:val="0070369A"/>
    <w:rsid w:val="0070575C"/>
    <w:rsid w:val="00706BDD"/>
    <w:rsid w:val="00706C1B"/>
    <w:rsid w:val="007078EC"/>
    <w:rsid w:val="00707E4E"/>
    <w:rsid w:val="0071192D"/>
    <w:rsid w:val="00711EBB"/>
    <w:rsid w:val="00716B00"/>
    <w:rsid w:val="007174AC"/>
    <w:rsid w:val="00717C4B"/>
    <w:rsid w:val="00724E26"/>
    <w:rsid w:val="00725982"/>
    <w:rsid w:val="007311D2"/>
    <w:rsid w:val="007344A1"/>
    <w:rsid w:val="007417E5"/>
    <w:rsid w:val="00743A91"/>
    <w:rsid w:val="00743CE5"/>
    <w:rsid w:val="0074428F"/>
    <w:rsid w:val="007452D4"/>
    <w:rsid w:val="00746398"/>
    <w:rsid w:val="00746B08"/>
    <w:rsid w:val="00747256"/>
    <w:rsid w:val="00755352"/>
    <w:rsid w:val="0075572B"/>
    <w:rsid w:val="007567A4"/>
    <w:rsid w:val="00757009"/>
    <w:rsid w:val="00761DD1"/>
    <w:rsid w:val="00764692"/>
    <w:rsid w:val="00773607"/>
    <w:rsid w:val="007753CE"/>
    <w:rsid w:val="00776A4F"/>
    <w:rsid w:val="00782E83"/>
    <w:rsid w:val="00782FD2"/>
    <w:rsid w:val="00785321"/>
    <w:rsid w:val="007860EE"/>
    <w:rsid w:val="00791C99"/>
    <w:rsid w:val="00793001"/>
    <w:rsid w:val="0079386F"/>
    <w:rsid w:val="00796923"/>
    <w:rsid w:val="00796D6E"/>
    <w:rsid w:val="00797349"/>
    <w:rsid w:val="007A0960"/>
    <w:rsid w:val="007A34A7"/>
    <w:rsid w:val="007A3C1C"/>
    <w:rsid w:val="007A3D6D"/>
    <w:rsid w:val="007A57F8"/>
    <w:rsid w:val="007A77B3"/>
    <w:rsid w:val="007A7F5B"/>
    <w:rsid w:val="007B14DF"/>
    <w:rsid w:val="007B60DD"/>
    <w:rsid w:val="007B734C"/>
    <w:rsid w:val="007C31EE"/>
    <w:rsid w:val="007C52CC"/>
    <w:rsid w:val="007C5A09"/>
    <w:rsid w:val="007C6E4B"/>
    <w:rsid w:val="007C7562"/>
    <w:rsid w:val="007C7D09"/>
    <w:rsid w:val="007C7D34"/>
    <w:rsid w:val="007D4A61"/>
    <w:rsid w:val="007D6C49"/>
    <w:rsid w:val="007E4743"/>
    <w:rsid w:val="007E6228"/>
    <w:rsid w:val="007E7847"/>
    <w:rsid w:val="007F0CF7"/>
    <w:rsid w:val="007F1020"/>
    <w:rsid w:val="007F291D"/>
    <w:rsid w:val="007F3254"/>
    <w:rsid w:val="007F4A53"/>
    <w:rsid w:val="007F548F"/>
    <w:rsid w:val="007F7D35"/>
    <w:rsid w:val="00801BB5"/>
    <w:rsid w:val="00803C63"/>
    <w:rsid w:val="00806DC9"/>
    <w:rsid w:val="008105AE"/>
    <w:rsid w:val="00810771"/>
    <w:rsid w:val="0081080D"/>
    <w:rsid w:val="008125D1"/>
    <w:rsid w:val="00815938"/>
    <w:rsid w:val="00821E59"/>
    <w:rsid w:val="00825ACD"/>
    <w:rsid w:val="00825AFA"/>
    <w:rsid w:val="00826AB8"/>
    <w:rsid w:val="00834D58"/>
    <w:rsid w:val="00841173"/>
    <w:rsid w:val="00841B31"/>
    <w:rsid w:val="00842327"/>
    <w:rsid w:val="00842329"/>
    <w:rsid w:val="00843794"/>
    <w:rsid w:val="00846BD3"/>
    <w:rsid w:val="00847898"/>
    <w:rsid w:val="008511A2"/>
    <w:rsid w:val="008525B9"/>
    <w:rsid w:val="0085463E"/>
    <w:rsid w:val="008604E8"/>
    <w:rsid w:val="0086377F"/>
    <w:rsid w:val="0086698F"/>
    <w:rsid w:val="008755A1"/>
    <w:rsid w:val="00880CB7"/>
    <w:rsid w:val="00884C82"/>
    <w:rsid w:val="008863FB"/>
    <w:rsid w:val="00886685"/>
    <w:rsid w:val="0088674E"/>
    <w:rsid w:val="008870C3"/>
    <w:rsid w:val="008875F7"/>
    <w:rsid w:val="008971B2"/>
    <w:rsid w:val="008A1AA1"/>
    <w:rsid w:val="008A4A59"/>
    <w:rsid w:val="008A6E83"/>
    <w:rsid w:val="008B195C"/>
    <w:rsid w:val="008B29EE"/>
    <w:rsid w:val="008B5976"/>
    <w:rsid w:val="008B5B23"/>
    <w:rsid w:val="008C0198"/>
    <w:rsid w:val="008C5E84"/>
    <w:rsid w:val="008D0263"/>
    <w:rsid w:val="008D2EE6"/>
    <w:rsid w:val="008D3476"/>
    <w:rsid w:val="008D6385"/>
    <w:rsid w:val="008D71D6"/>
    <w:rsid w:val="008E0FAC"/>
    <w:rsid w:val="008E302A"/>
    <w:rsid w:val="008E58F0"/>
    <w:rsid w:val="008E66D7"/>
    <w:rsid w:val="008E7FCE"/>
    <w:rsid w:val="008F54DE"/>
    <w:rsid w:val="00900708"/>
    <w:rsid w:val="00900FE5"/>
    <w:rsid w:val="009033E8"/>
    <w:rsid w:val="0090619A"/>
    <w:rsid w:val="009069EF"/>
    <w:rsid w:val="00907EE7"/>
    <w:rsid w:val="00911FE5"/>
    <w:rsid w:val="00912339"/>
    <w:rsid w:val="009164BE"/>
    <w:rsid w:val="0092089A"/>
    <w:rsid w:val="00921F19"/>
    <w:rsid w:val="00922731"/>
    <w:rsid w:val="00924F63"/>
    <w:rsid w:val="009270B8"/>
    <w:rsid w:val="009309B9"/>
    <w:rsid w:val="00931D55"/>
    <w:rsid w:val="00935405"/>
    <w:rsid w:val="00935B0C"/>
    <w:rsid w:val="0093658A"/>
    <w:rsid w:val="00937821"/>
    <w:rsid w:val="00940CE6"/>
    <w:rsid w:val="00943E4C"/>
    <w:rsid w:val="00944ED0"/>
    <w:rsid w:val="00946396"/>
    <w:rsid w:val="00946A51"/>
    <w:rsid w:val="00947EA7"/>
    <w:rsid w:val="00951425"/>
    <w:rsid w:val="00954A59"/>
    <w:rsid w:val="0095605C"/>
    <w:rsid w:val="00961637"/>
    <w:rsid w:val="00962CD1"/>
    <w:rsid w:val="00963CDA"/>
    <w:rsid w:val="009648F7"/>
    <w:rsid w:val="0096558A"/>
    <w:rsid w:val="00967140"/>
    <w:rsid w:val="00970E1A"/>
    <w:rsid w:val="00974346"/>
    <w:rsid w:val="00975F7A"/>
    <w:rsid w:val="00976B63"/>
    <w:rsid w:val="00977933"/>
    <w:rsid w:val="0098054F"/>
    <w:rsid w:val="0098311B"/>
    <w:rsid w:val="0098343F"/>
    <w:rsid w:val="00983CC9"/>
    <w:rsid w:val="009847DD"/>
    <w:rsid w:val="00986A2F"/>
    <w:rsid w:val="00992A6C"/>
    <w:rsid w:val="00992C0C"/>
    <w:rsid w:val="00995673"/>
    <w:rsid w:val="009A2B44"/>
    <w:rsid w:val="009A3236"/>
    <w:rsid w:val="009A59F0"/>
    <w:rsid w:val="009A79CD"/>
    <w:rsid w:val="009B218B"/>
    <w:rsid w:val="009B2BD3"/>
    <w:rsid w:val="009B739D"/>
    <w:rsid w:val="009C2954"/>
    <w:rsid w:val="009C29DC"/>
    <w:rsid w:val="009D06BA"/>
    <w:rsid w:val="009D30D8"/>
    <w:rsid w:val="009D446D"/>
    <w:rsid w:val="009D5D06"/>
    <w:rsid w:val="009D780D"/>
    <w:rsid w:val="009E023E"/>
    <w:rsid w:val="009E5FFA"/>
    <w:rsid w:val="009F1B69"/>
    <w:rsid w:val="009F258C"/>
    <w:rsid w:val="009F48E0"/>
    <w:rsid w:val="009F5C8A"/>
    <w:rsid w:val="009F63C0"/>
    <w:rsid w:val="009F76A0"/>
    <w:rsid w:val="00A00B0D"/>
    <w:rsid w:val="00A036C9"/>
    <w:rsid w:val="00A04584"/>
    <w:rsid w:val="00A07124"/>
    <w:rsid w:val="00A07381"/>
    <w:rsid w:val="00A1160E"/>
    <w:rsid w:val="00A152B1"/>
    <w:rsid w:val="00A20F91"/>
    <w:rsid w:val="00A21C5E"/>
    <w:rsid w:val="00A26B76"/>
    <w:rsid w:val="00A27A74"/>
    <w:rsid w:val="00A32C72"/>
    <w:rsid w:val="00A365E4"/>
    <w:rsid w:val="00A426A7"/>
    <w:rsid w:val="00A42962"/>
    <w:rsid w:val="00A43141"/>
    <w:rsid w:val="00A435BC"/>
    <w:rsid w:val="00A45090"/>
    <w:rsid w:val="00A50B1C"/>
    <w:rsid w:val="00A512E5"/>
    <w:rsid w:val="00A52031"/>
    <w:rsid w:val="00A53FBE"/>
    <w:rsid w:val="00A54110"/>
    <w:rsid w:val="00A5614D"/>
    <w:rsid w:val="00A570E7"/>
    <w:rsid w:val="00A60EB4"/>
    <w:rsid w:val="00A634F5"/>
    <w:rsid w:val="00A665DE"/>
    <w:rsid w:val="00A71174"/>
    <w:rsid w:val="00A729F0"/>
    <w:rsid w:val="00A72CC9"/>
    <w:rsid w:val="00A72EAC"/>
    <w:rsid w:val="00A7790A"/>
    <w:rsid w:val="00A77BF9"/>
    <w:rsid w:val="00A80AC3"/>
    <w:rsid w:val="00A84E7E"/>
    <w:rsid w:val="00A858C9"/>
    <w:rsid w:val="00A86C0C"/>
    <w:rsid w:val="00A92108"/>
    <w:rsid w:val="00A92D9D"/>
    <w:rsid w:val="00A94D59"/>
    <w:rsid w:val="00A9558B"/>
    <w:rsid w:val="00A974E3"/>
    <w:rsid w:val="00AA0291"/>
    <w:rsid w:val="00AA19B6"/>
    <w:rsid w:val="00AA2D9F"/>
    <w:rsid w:val="00AA3510"/>
    <w:rsid w:val="00AA6D10"/>
    <w:rsid w:val="00AA71E6"/>
    <w:rsid w:val="00AB2372"/>
    <w:rsid w:val="00AB3D28"/>
    <w:rsid w:val="00AB52EC"/>
    <w:rsid w:val="00AC08A2"/>
    <w:rsid w:val="00AC11F8"/>
    <w:rsid w:val="00AC59AE"/>
    <w:rsid w:val="00AD0480"/>
    <w:rsid w:val="00AD18C8"/>
    <w:rsid w:val="00AD39F6"/>
    <w:rsid w:val="00AD6D26"/>
    <w:rsid w:val="00AD7F9E"/>
    <w:rsid w:val="00AE1A2C"/>
    <w:rsid w:val="00AE24D5"/>
    <w:rsid w:val="00AE6886"/>
    <w:rsid w:val="00AF0AE3"/>
    <w:rsid w:val="00AF0E48"/>
    <w:rsid w:val="00AF46FA"/>
    <w:rsid w:val="00AF66DD"/>
    <w:rsid w:val="00AF72EF"/>
    <w:rsid w:val="00AF7BDC"/>
    <w:rsid w:val="00B03009"/>
    <w:rsid w:val="00B04A43"/>
    <w:rsid w:val="00B07BCC"/>
    <w:rsid w:val="00B121BF"/>
    <w:rsid w:val="00B15B08"/>
    <w:rsid w:val="00B162B9"/>
    <w:rsid w:val="00B25981"/>
    <w:rsid w:val="00B30358"/>
    <w:rsid w:val="00B31CA2"/>
    <w:rsid w:val="00B34340"/>
    <w:rsid w:val="00B3459E"/>
    <w:rsid w:val="00B35574"/>
    <w:rsid w:val="00B35D0B"/>
    <w:rsid w:val="00B40E77"/>
    <w:rsid w:val="00B41922"/>
    <w:rsid w:val="00B424F6"/>
    <w:rsid w:val="00B425BF"/>
    <w:rsid w:val="00B44324"/>
    <w:rsid w:val="00B44AE7"/>
    <w:rsid w:val="00B45D9D"/>
    <w:rsid w:val="00B466CC"/>
    <w:rsid w:val="00B46A99"/>
    <w:rsid w:val="00B4714C"/>
    <w:rsid w:val="00B47DEB"/>
    <w:rsid w:val="00B55BAE"/>
    <w:rsid w:val="00B5687D"/>
    <w:rsid w:val="00B56B28"/>
    <w:rsid w:val="00B56D06"/>
    <w:rsid w:val="00B56D4E"/>
    <w:rsid w:val="00B56EE0"/>
    <w:rsid w:val="00B60704"/>
    <w:rsid w:val="00B63F8B"/>
    <w:rsid w:val="00B650C8"/>
    <w:rsid w:val="00B6588C"/>
    <w:rsid w:val="00B66DB3"/>
    <w:rsid w:val="00B67158"/>
    <w:rsid w:val="00B71B0E"/>
    <w:rsid w:val="00B728B4"/>
    <w:rsid w:val="00B73770"/>
    <w:rsid w:val="00B741B6"/>
    <w:rsid w:val="00B76985"/>
    <w:rsid w:val="00B8775C"/>
    <w:rsid w:val="00B90373"/>
    <w:rsid w:val="00B9144A"/>
    <w:rsid w:val="00B91DBA"/>
    <w:rsid w:val="00B928AE"/>
    <w:rsid w:val="00B937CF"/>
    <w:rsid w:val="00B93F02"/>
    <w:rsid w:val="00B951CF"/>
    <w:rsid w:val="00B95ADA"/>
    <w:rsid w:val="00B95B31"/>
    <w:rsid w:val="00B95DB3"/>
    <w:rsid w:val="00B96678"/>
    <w:rsid w:val="00BA046F"/>
    <w:rsid w:val="00BA0C6E"/>
    <w:rsid w:val="00BA0FAD"/>
    <w:rsid w:val="00BA114F"/>
    <w:rsid w:val="00BA5471"/>
    <w:rsid w:val="00BA5D60"/>
    <w:rsid w:val="00BB0D83"/>
    <w:rsid w:val="00BB1293"/>
    <w:rsid w:val="00BB417E"/>
    <w:rsid w:val="00BB7F46"/>
    <w:rsid w:val="00BC0E7B"/>
    <w:rsid w:val="00BC1F09"/>
    <w:rsid w:val="00BC3474"/>
    <w:rsid w:val="00BC57D1"/>
    <w:rsid w:val="00BC5AC3"/>
    <w:rsid w:val="00BC7368"/>
    <w:rsid w:val="00BD2CA8"/>
    <w:rsid w:val="00BD5BB0"/>
    <w:rsid w:val="00BD6591"/>
    <w:rsid w:val="00BD7E4E"/>
    <w:rsid w:val="00BE13FB"/>
    <w:rsid w:val="00BE427E"/>
    <w:rsid w:val="00BE59E6"/>
    <w:rsid w:val="00BE5D24"/>
    <w:rsid w:val="00BE7028"/>
    <w:rsid w:val="00BF0C50"/>
    <w:rsid w:val="00BF152E"/>
    <w:rsid w:val="00BF1805"/>
    <w:rsid w:val="00BF2E81"/>
    <w:rsid w:val="00C00201"/>
    <w:rsid w:val="00C00AD6"/>
    <w:rsid w:val="00C02DB1"/>
    <w:rsid w:val="00C03086"/>
    <w:rsid w:val="00C03D6B"/>
    <w:rsid w:val="00C045FE"/>
    <w:rsid w:val="00C05583"/>
    <w:rsid w:val="00C102EE"/>
    <w:rsid w:val="00C10BC1"/>
    <w:rsid w:val="00C12757"/>
    <w:rsid w:val="00C1726E"/>
    <w:rsid w:val="00C235C4"/>
    <w:rsid w:val="00C302D3"/>
    <w:rsid w:val="00C3173B"/>
    <w:rsid w:val="00C31B86"/>
    <w:rsid w:val="00C31E7A"/>
    <w:rsid w:val="00C354D0"/>
    <w:rsid w:val="00C37E79"/>
    <w:rsid w:val="00C422FE"/>
    <w:rsid w:val="00C42EEE"/>
    <w:rsid w:val="00C435A1"/>
    <w:rsid w:val="00C44CC9"/>
    <w:rsid w:val="00C458A5"/>
    <w:rsid w:val="00C45DC1"/>
    <w:rsid w:val="00C4817B"/>
    <w:rsid w:val="00C50769"/>
    <w:rsid w:val="00C51F5B"/>
    <w:rsid w:val="00C52427"/>
    <w:rsid w:val="00C55FBD"/>
    <w:rsid w:val="00C570AE"/>
    <w:rsid w:val="00C61D0F"/>
    <w:rsid w:val="00C63D49"/>
    <w:rsid w:val="00C7049F"/>
    <w:rsid w:val="00C706AA"/>
    <w:rsid w:val="00C725AA"/>
    <w:rsid w:val="00C74D7D"/>
    <w:rsid w:val="00C75B95"/>
    <w:rsid w:val="00C827F2"/>
    <w:rsid w:val="00C82C10"/>
    <w:rsid w:val="00C82DC3"/>
    <w:rsid w:val="00C82E98"/>
    <w:rsid w:val="00C84296"/>
    <w:rsid w:val="00C8512D"/>
    <w:rsid w:val="00C85F10"/>
    <w:rsid w:val="00C87029"/>
    <w:rsid w:val="00C87368"/>
    <w:rsid w:val="00C9334A"/>
    <w:rsid w:val="00C9380A"/>
    <w:rsid w:val="00C9434E"/>
    <w:rsid w:val="00C95761"/>
    <w:rsid w:val="00C965DA"/>
    <w:rsid w:val="00C97B75"/>
    <w:rsid w:val="00CA2B06"/>
    <w:rsid w:val="00CB1663"/>
    <w:rsid w:val="00CB548A"/>
    <w:rsid w:val="00CB6F85"/>
    <w:rsid w:val="00CC2856"/>
    <w:rsid w:val="00CC4474"/>
    <w:rsid w:val="00CC512E"/>
    <w:rsid w:val="00CC5287"/>
    <w:rsid w:val="00CC66F8"/>
    <w:rsid w:val="00CD49F8"/>
    <w:rsid w:val="00CD61C3"/>
    <w:rsid w:val="00CD6A73"/>
    <w:rsid w:val="00CE34A1"/>
    <w:rsid w:val="00CF1B77"/>
    <w:rsid w:val="00CF2886"/>
    <w:rsid w:val="00CF5576"/>
    <w:rsid w:val="00D034C5"/>
    <w:rsid w:val="00D06B9D"/>
    <w:rsid w:val="00D0CDF7"/>
    <w:rsid w:val="00D12D9E"/>
    <w:rsid w:val="00D16857"/>
    <w:rsid w:val="00D211BA"/>
    <w:rsid w:val="00D26069"/>
    <w:rsid w:val="00D300E6"/>
    <w:rsid w:val="00D3126D"/>
    <w:rsid w:val="00D3147E"/>
    <w:rsid w:val="00D3201E"/>
    <w:rsid w:val="00D33AF2"/>
    <w:rsid w:val="00D33B9C"/>
    <w:rsid w:val="00D36888"/>
    <w:rsid w:val="00D41382"/>
    <w:rsid w:val="00D41AF4"/>
    <w:rsid w:val="00D41CD6"/>
    <w:rsid w:val="00D4207D"/>
    <w:rsid w:val="00D4266C"/>
    <w:rsid w:val="00D44AA2"/>
    <w:rsid w:val="00D47DAC"/>
    <w:rsid w:val="00D5392E"/>
    <w:rsid w:val="00D55488"/>
    <w:rsid w:val="00D55924"/>
    <w:rsid w:val="00D625DD"/>
    <w:rsid w:val="00D63674"/>
    <w:rsid w:val="00D644EF"/>
    <w:rsid w:val="00D667D6"/>
    <w:rsid w:val="00D71DAD"/>
    <w:rsid w:val="00D81FE7"/>
    <w:rsid w:val="00D84593"/>
    <w:rsid w:val="00D85018"/>
    <w:rsid w:val="00D857B7"/>
    <w:rsid w:val="00D875F8"/>
    <w:rsid w:val="00D92FE6"/>
    <w:rsid w:val="00D93293"/>
    <w:rsid w:val="00D934F1"/>
    <w:rsid w:val="00D93CB6"/>
    <w:rsid w:val="00D953E4"/>
    <w:rsid w:val="00D95961"/>
    <w:rsid w:val="00D972B2"/>
    <w:rsid w:val="00D976AE"/>
    <w:rsid w:val="00DA4D72"/>
    <w:rsid w:val="00DA5387"/>
    <w:rsid w:val="00DA597F"/>
    <w:rsid w:val="00DA65ED"/>
    <w:rsid w:val="00DA7A7D"/>
    <w:rsid w:val="00DB0F6D"/>
    <w:rsid w:val="00DB39EB"/>
    <w:rsid w:val="00DB4EA9"/>
    <w:rsid w:val="00DB5AE0"/>
    <w:rsid w:val="00DB77F7"/>
    <w:rsid w:val="00DC294E"/>
    <w:rsid w:val="00DC5152"/>
    <w:rsid w:val="00DC7A0E"/>
    <w:rsid w:val="00DD017E"/>
    <w:rsid w:val="00DD130D"/>
    <w:rsid w:val="00DD3D02"/>
    <w:rsid w:val="00DD647E"/>
    <w:rsid w:val="00DD6A7F"/>
    <w:rsid w:val="00DE1F93"/>
    <w:rsid w:val="00DE3490"/>
    <w:rsid w:val="00DE4E3A"/>
    <w:rsid w:val="00DF2085"/>
    <w:rsid w:val="00DF2505"/>
    <w:rsid w:val="00DF32EE"/>
    <w:rsid w:val="00E043E4"/>
    <w:rsid w:val="00E04D12"/>
    <w:rsid w:val="00E05E7C"/>
    <w:rsid w:val="00E104E8"/>
    <w:rsid w:val="00E136EC"/>
    <w:rsid w:val="00E14AA1"/>
    <w:rsid w:val="00E21C33"/>
    <w:rsid w:val="00E224E3"/>
    <w:rsid w:val="00E234A2"/>
    <w:rsid w:val="00E23C76"/>
    <w:rsid w:val="00E248E2"/>
    <w:rsid w:val="00E251B4"/>
    <w:rsid w:val="00E25D19"/>
    <w:rsid w:val="00E35B31"/>
    <w:rsid w:val="00E36288"/>
    <w:rsid w:val="00E36733"/>
    <w:rsid w:val="00E37903"/>
    <w:rsid w:val="00E41CD0"/>
    <w:rsid w:val="00E4439E"/>
    <w:rsid w:val="00E47662"/>
    <w:rsid w:val="00E510A1"/>
    <w:rsid w:val="00E52C89"/>
    <w:rsid w:val="00E52D2F"/>
    <w:rsid w:val="00E535E1"/>
    <w:rsid w:val="00E53EFB"/>
    <w:rsid w:val="00E55159"/>
    <w:rsid w:val="00E55C9D"/>
    <w:rsid w:val="00E61A95"/>
    <w:rsid w:val="00E70CE1"/>
    <w:rsid w:val="00E71E74"/>
    <w:rsid w:val="00E743BD"/>
    <w:rsid w:val="00E77E9E"/>
    <w:rsid w:val="00E801A3"/>
    <w:rsid w:val="00E83EE3"/>
    <w:rsid w:val="00E842BB"/>
    <w:rsid w:val="00E84BDB"/>
    <w:rsid w:val="00E85765"/>
    <w:rsid w:val="00E86236"/>
    <w:rsid w:val="00E863F9"/>
    <w:rsid w:val="00E86D4A"/>
    <w:rsid w:val="00E91343"/>
    <w:rsid w:val="00E92191"/>
    <w:rsid w:val="00E92D42"/>
    <w:rsid w:val="00E92D79"/>
    <w:rsid w:val="00E933C6"/>
    <w:rsid w:val="00E939EA"/>
    <w:rsid w:val="00E94500"/>
    <w:rsid w:val="00E95BC9"/>
    <w:rsid w:val="00EA0BE3"/>
    <w:rsid w:val="00EA3504"/>
    <w:rsid w:val="00EA3940"/>
    <w:rsid w:val="00EB0A40"/>
    <w:rsid w:val="00EB0FE1"/>
    <w:rsid w:val="00EB17D7"/>
    <w:rsid w:val="00EB21A2"/>
    <w:rsid w:val="00EB4118"/>
    <w:rsid w:val="00EB6634"/>
    <w:rsid w:val="00EB7CE6"/>
    <w:rsid w:val="00EC0C7F"/>
    <w:rsid w:val="00EC1E37"/>
    <w:rsid w:val="00EC7056"/>
    <w:rsid w:val="00EC7D17"/>
    <w:rsid w:val="00EC7D74"/>
    <w:rsid w:val="00ED392E"/>
    <w:rsid w:val="00ED578F"/>
    <w:rsid w:val="00ED6AC7"/>
    <w:rsid w:val="00EE0B15"/>
    <w:rsid w:val="00EE1447"/>
    <w:rsid w:val="00EE5EB2"/>
    <w:rsid w:val="00EF0C75"/>
    <w:rsid w:val="00EF38E4"/>
    <w:rsid w:val="00EF3F8B"/>
    <w:rsid w:val="00F015B2"/>
    <w:rsid w:val="00F025DF"/>
    <w:rsid w:val="00F04553"/>
    <w:rsid w:val="00F046E1"/>
    <w:rsid w:val="00F129EA"/>
    <w:rsid w:val="00F14F33"/>
    <w:rsid w:val="00F167D4"/>
    <w:rsid w:val="00F232C8"/>
    <w:rsid w:val="00F25472"/>
    <w:rsid w:val="00F25C9C"/>
    <w:rsid w:val="00F26B4F"/>
    <w:rsid w:val="00F26CB6"/>
    <w:rsid w:val="00F3035D"/>
    <w:rsid w:val="00F34043"/>
    <w:rsid w:val="00F36FAF"/>
    <w:rsid w:val="00F412FC"/>
    <w:rsid w:val="00F44398"/>
    <w:rsid w:val="00F50738"/>
    <w:rsid w:val="00F514C0"/>
    <w:rsid w:val="00F53D44"/>
    <w:rsid w:val="00F54AE2"/>
    <w:rsid w:val="00F56721"/>
    <w:rsid w:val="00F56D93"/>
    <w:rsid w:val="00F60DC4"/>
    <w:rsid w:val="00F61429"/>
    <w:rsid w:val="00F65995"/>
    <w:rsid w:val="00F65DA7"/>
    <w:rsid w:val="00F65FBB"/>
    <w:rsid w:val="00F66E25"/>
    <w:rsid w:val="00F72AD4"/>
    <w:rsid w:val="00F74153"/>
    <w:rsid w:val="00F748D1"/>
    <w:rsid w:val="00F75CC6"/>
    <w:rsid w:val="00F8678D"/>
    <w:rsid w:val="00F87E60"/>
    <w:rsid w:val="00F91EDE"/>
    <w:rsid w:val="00F92487"/>
    <w:rsid w:val="00F94580"/>
    <w:rsid w:val="00F97CDA"/>
    <w:rsid w:val="00FA2793"/>
    <w:rsid w:val="00FA2D80"/>
    <w:rsid w:val="00FA3286"/>
    <w:rsid w:val="00FB0B65"/>
    <w:rsid w:val="00FB18D4"/>
    <w:rsid w:val="00FB2204"/>
    <w:rsid w:val="00FB23EA"/>
    <w:rsid w:val="00FB5ADB"/>
    <w:rsid w:val="00FC19B5"/>
    <w:rsid w:val="00FC3178"/>
    <w:rsid w:val="00FC3BEC"/>
    <w:rsid w:val="00FC7A4F"/>
    <w:rsid w:val="00FC7A78"/>
    <w:rsid w:val="00FD0EF6"/>
    <w:rsid w:val="00FD1753"/>
    <w:rsid w:val="00FD7356"/>
    <w:rsid w:val="00FE1D77"/>
    <w:rsid w:val="00FE2474"/>
    <w:rsid w:val="00FE399C"/>
    <w:rsid w:val="00FE76A0"/>
    <w:rsid w:val="00FF2555"/>
    <w:rsid w:val="00FF3180"/>
    <w:rsid w:val="00FF3929"/>
    <w:rsid w:val="00FF39D5"/>
    <w:rsid w:val="00FF5DD6"/>
    <w:rsid w:val="00FF71C6"/>
    <w:rsid w:val="00FF7C53"/>
    <w:rsid w:val="02C7646A"/>
    <w:rsid w:val="033A3588"/>
    <w:rsid w:val="05D4658A"/>
    <w:rsid w:val="074DC03D"/>
    <w:rsid w:val="086C22D2"/>
    <w:rsid w:val="10D776A7"/>
    <w:rsid w:val="118C08AD"/>
    <w:rsid w:val="12989CD8"/>
    <w:rsid w:val="136127B6"/>
    <w:rsid w:val="1445A810"/>
    <w:rsid w:val="152F853F"/>
    <w:rsid w:val="15608F5E"/>
    <w:rsid w:val="176A15BD"/>
    <w:rsid w:val="190766E4"/>
    <w:rsid w:val="1AAF1D41"/>
    <w:rsid w:val="1DC02EE4"/>
    <w:rsid w:val="1DEC8A56"/>
    <w:rsid w:val="1E9BB069"/>
    <w:rsid w:val="1E9C854A"/>
    <w:rsid w:val="1ED9CFDB"/>
    <w:rsid w:val="1FA9AD08"/>
    <w:rsid w:val="21D85317"/>
    <w:rsid w:val="220B7555"/>
    <w:rsid w:val="22740986"/>
    <w:rsid w:val="22D8C6D4"/>
    <w:rsid w:val="232906DC"/>
    <w:rsid w:val="24AA8A03"/>
    <w:rsid w:val="24D7A37D"/>
    <w:rsid w:val="262C752C"/>
    <w:rsid w:val="270087F7"/>
    <w:rsid w:val="2B12A836"/>
    <w:rsid w:val="2D0EEB2D"/>
    <w:rsid w:val="2D74EC6C"/>
    <w:rsid w:val="2F0D3FCD"/>
    <w:rsid w:val="321DFA5B"/>
    <w:rsid w:val="32A199DD"/>
    <w:rsid w:val="345FDFEC"/>
    <w:rsid w:val="35E9F6DB"/>
    <w:rsid w:val="35EC6DB4"/>
    <w:rsid w:val="361A2A93"/>
    <w:rsid w:val="36B3D535"/>
    <w:rsid w:val="37DC1D8E"/>
    <w:rsid w:val="3AA953BD"/>
    <w:rsid w:val="3ACDFE13"/>
    <w:rsid w:val="3AE689FE"/>
    <w:rsid w:val="3EEA1F2F"/>
    <w:rsid w:val="403321C5"/>
    <w:rsid w:val="414761C9"/>
    <w:rsid w:val="4579DE23"/>
    <w:rsid w:val="46EB4B50"/>
    <w:rsid w:val="48871BB1"/>
    <w:rsid w:val="4D4B4A3B"/>
    <w:rsid w:val="4EE5225E"/>
    <w:rsid w:val="517E0805"/>
    <w:rsid w:val="53127E51"/>
    <w:rsid w:val="53484B92"/>
    <w:rsid w:val="54877B65"/>
    <w:rsid w:val="57DC09B0"/>
    <w:rsid w:val="58196290"/>
    <w:rsid w:val="5930F867"/>
    <w:rsid w:val="5950EB96"/>
    <w:rsid w:val="59B52A89"/>
    <w:rsid w:val="59C6AB31"/>
    <w:rsid w:val="5AB917F6"/>
    <w:rsid w:val="5AC81E8D"/>
    <w:rsid w:val="5C0A106D"/>
    <w:rsid w:val="5CDA28D0"/>
    <w:rsid w:val="5E31E669"/>
    <w:rsid w:val="5E508C8F"/>
    <w:rsid w:val="5F978ECB"/>
    <w:rsid w:val="60F27D53"/>
    <w:rsid w:val="6152570C"/>
    <w:rsid w:val="61E653BE"/>
    <w:rsid w:val="61F3A50D"/>
    <w:rsid w:val="6281B80A"/>
    <w:rsid w:val="63B6DFDE"/>
    <w:rsid w:val="6570BB47"/>
    <w:rsid w:val="682FC3C3"/>
    <w:rsid w:val="68C2E32A"/>
    <w:rsid w:val="695BE21A"/>
    <w:rsid w:val="69749910"/>
    <w:rsid w:val="69A91E76"/>
    <w:rsid w:val="69B2877C"/>
    <w:rsid w:val="6AD90CF8"/>
    <w:rsid w:val="6B189365"/>
    <w:rsid w:val="6D86D468"/>
    <w:rsid w:val="6E503427"/>
    <w:rsid w:val="6F2C8A8D"/>
    <w:rsid w:val="6F58C659"/>
    <w:rsid w:val="722B956C"/>
    <w:rsid w:val="72C0EDBB"/>
    <w:rsid w:val="746BD201"/>
    <w:rsid w:val="752AE9A9"/>
    <w:rsid w:val="7765316C"/>
    <w:rsid w:val="7A553FF6"/>
    <w:rsid w:val="7CC25D9C"/>
    <w:rsid w:val="7D183553"/>
    <w:rsid w:val="7D23D46A"/>
    <w:rsid w:val="7E5AA635"/>
    <w:rsid w:val="7E8C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2F41"/>
  <w15:docId w15:val="{36F4537D-648E-4BE8-A761-77A5DA1B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14"/>
    <w:pPr>
      <w:spacing w:after="0" w:line="240" w:lineRule="auto"/>
    </w:pPr>
    <w:rPr>
      <w:rFonts w:ascii="Calibri" w:eastAsia="PMingLiU" w:hAnsi="Calibri" w:cs="Times New Roman"/>
      <w:lang w:val="en-AU" w:eastAsia="en-AU"/>
    </w:rPr>
  </w:style>
  <w:style w:type="paragraph" w:styleId="Heading1">
    <w:name w:val="heading 1"/>
    <w:basedOn w:val="Normal"/>
    <w:next w:val="Normal"/>
    <w:link w:val="Heading1Char"/>
    <w:uiPriority w:val="9"/>
    <w:qFormat/>
    <w:rsid w:val="001C3E1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C3E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1C3E1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E14"/>
    <w:rPr>
      <w:rFonts w:ascii="Cambria" w:eastAsia="PMingLiU" w:hAnsi="Cambria" w:cs="Times New Roman"/>
      <w:b/>
      <w:bCs/>
      <w:color w:val="365F91"/>
      <w:sz w:val="28"/>
      <w:szCs w:val="28"/>
      <w:lang w:val="en-AU" w:eastAsia="en-AU"/>
    </w:rPr>
  </w:style>
  <w:style w:type="character" w:customStyle="1" w:styleId="Heading2Char">
    <w:name w:val="Heading 2 Char"/>
    <w:basedOn w:val="DefaultParagraphFont"/>
    <w:link w:val="Heading2"/>
    <w:uiPriority w:val="9"/>
    <w:rsid w:val="001C3E14"/>
    <w:rPr>
      <w:rFonts w:ascii="Cambria" w:eastAsia="PMingLiU" w:hAnsi="Cambria" w:cs="Times New Roman"/>
      <w:b/>
      <w:bCs/>
      <w:color w:val="4F81BD"/>
      <w:sz w:val="26"/>
      <w:szCs w:val="26"/>
      <w:lang w:val="en-AU" w:eastAsia="en-AU"/>
    </w:rPr>
  </w:style>
  <w:style w:type="character" w:customStyle="1" w:styleId="Heading3Char">
    <w:name w:val="Heading 3 Char"/>
    <w:basedOn w:val="DefaultParagraphFont"/>
    <w:link w:val="Heading3"/>
    <w:uiPriority w:val="9"/>
    <w:semiHidden/>
    <w:rsid w:val="001C3E14"/>
    <w:rPr>
      <w:rFonts w:ascii="Cambria" w:eastAsia="PMingLiU" w:hAnsi="Cambria" w:cs="Times New Roman"/>
      <w:b/>
      <w:bCs/>
      <w:color w:val="4F81BD"/>
      <w:lang w:val="en-AU" w:eastAsia="en-AU"/>
    </w:rPr>
  </w:style>
  <w:style w:type="paragraph" w:styleId="FootnoteText">
    <w:name w:val="footnote text"/>
    <w:basedOn w:val="Normal"/>
    <w:link w:val="FootnoteTextChar"/>
    <w:uiPriority w:val="99"/>
    <w:semiHidden/>
    <w:unhideWhenUsed/>
    <w:rsid w:val="001C3E14"/>
    <w:rPr>
      <w:sz w:val="20"/>
      <w:szCs w:val="20"/>
    </w:rPr>
  </w:style>
  <w:style w:type="character" w:customStyle="1" w:styleId="FootnoteTextChar">
    <w:name w:val="Footnote Text Char"/>
    <w:basedOn w:val="DefaultParagraphFont"/>
    <w:link w:val="FootnoteText"/>
    <w:uiPriority w:val="99"/>
    <w:semiHidden/>
    <w:rsid w:val="001C3E14"/>
    <w:rPr>
      <w:rFonts w:ascii="Calibri" w:eastAsia="PMingLiU" w:hAnsi="Calibri" w:cs="Times New Roman"/>
      <w:sz w:val="20"/>
      <w:szCs w:val="20"/>
      <w:lang w:val="en-AU" w:eastAsia="en-AU"/>
    </w:rPr>
  </w:style>
  <w:style w:type="character" w:customStyle="1" w:styleId="CommentTextChar">
    <w:name w:val="Comment Text Char"/>
    <w:basedOn w:val="DefaultParagraphFont"/>
    <w:link w:val="CommentText"/>
    <w:uiPriority w:val="99"/>
    <w:rsid w:val="001C3E14"/>
    <w:rPr>
      <w:rFonts w:ascii="Calibri" w:eastAsia="PMingLiU" w:hAnsi="Calibri" w:cs="Times New Roman"/>
      <w:sz w:val="20"/>
      <w:szCs w:val="20"/>
      <w:lang w:val="en-AU" w:eastAsia="en-AU"/>
    </w:rPr>
  </w:style>
  <w:style w:type="paragraph" w:styleId="CommentText">
    <w:name w:val="annotation text"/>
    <w:basedOn w:val="Normal"/>
    <w:link w:val="CommentTextChar"/>
    <w:uiPriority w:val="99"/>
    <w:unhideWhenUsed/>
    <w:rsid w:val="001C3E14"/>
    <w:rPr>
      <w:sz w:val="20"/>
      <w:szCs w:val="20"/>
    </w:rPr>
  </w:style>
  <w:style w:type="character" w:customStyle="1" w:styleId="HeaderChar">
    <w:name w:val="Header Char"/>
    <w:basedOn w:val="DefaultParagraphFont"/>
    <w:link w:val="Header"/>
    <w:uiPriority w:val="99"/>
    <w:rsid w:val="001C3E14"/>
    <w:rPr>
      <w:rFonts w:ascii="Calibri" w:eastAsia="PMingLiU" w:hAnsi="Calibri" w:cs="Times New Roman"/>
      <w:lang w:val="en-AU" w:eastAsia="en-AU"/>
    </w:rPr>
  </w:style>
  <w:style w:type="paragraph" w:styleId="Header">
    <w:name w:val="header"/>
    <w:basedOn w:val="Normal"/>
    <w:link w:val="HeaderChar"/>
    <w:uiPriority w:val="99"/>
    <w:unhideWhenUsed/>
    <w:rsid w:val="001C3E14"/>
    <w:pPr>
      <w:tabs>
        <w:tab w:val="center" w:pos="4513"/>
        <w:tab w:val="right" w:pos="9026"/>
      </w:tabs>
    </w:pPr>
  </w:style>
  <w:style w:type="character" w:customStyle="1" w:styleId="FooterChar">
    <w:name w:val="Footer Char"/>
    <w:basedOn w:val="DefaultParagraphFont"/>
    <w:link w:val="Footer"/>
    <w:uiPriority w:val="99"/>
    <w:rsid w:val="001C3E14"/>
    <w:rPr>
      <w:rFonts w:ascii="Calibri" w:eastAsia="PMingLiU" w:hAnsi="Calibri" w:cs="Times New Roman"/>
      <w:lang w:val="en-AU" w:eastAsia="en-AU"/>
    </w:rPr>
  </w:style>
  <w:style w:type="paragraph" w:styleId="Footer">
    <w:name w:val="footer"/>
    <w:basedOn w:val="Normal"/>
    <w:link w:val="FooterChar"/>
    <w:uiPriority w:val="99"/>
    <w:unhideWhenUsed/>
    <w:rsid w:val="001C3E14"/>
    <w:pPr>
      <w:tabs>
        <w:tab w:val="center" w:pos="4513"/>
        <w:tab w:val="right" w:pos="9026"/>
      </w:tabs>
    </w:pPr>
  </w:style>
  <w:style w:type="character" w:customStyle="1" w:styleId="EndnoteTextChar">
    <w:name w:val="Endnote Text Char"/>
    <w:basedOn w:val="DefaultParagraphFont"/>
    <w:link w:val="EndnoteText"/>
    <w:uiPriority w:val="99"/>
    <w:semiHidden/>
    <w:rsid w:val="001C3E14"/>
    <w:rPr>
      <w:rFonts w:ascii="Calibri" w:eastAsia="PMingLiU" w:hAnsi="Calibri" w:cs="Times New Roman"/>
      <w:sz w:val="20"/>
      <w:szCs w:val="20"/>
      <w:lang w:val="en-AU" w:eastAsia="en-AU"/>
    </w:rPr>
  </w:style>
  <w:style w:type="paragraph" w:styleId="EndnoteText">
    <w:name w:val="endnote text"/>
    <w:basedOn w:val="Normal"/>
    <w:link w:val="EndnoteTextChar"/>
    <w:uiPriority w:val="99"/>
    <w:semiHidden/>
    <w:unhideWhenUsed/>
    <w:rsid w:val="001C3E14"/>
    <w:rPr>
      <w:sz w:val="20"/>
      <w:szCs w:val="20"/>
    </w:rPr>
  </w:style>
  <w:style w:type="paragraph" w:styleId="Title">
    <w:name w:val="Title"/>
    <w:basedOn w:val="Normal"/>
    <w:next w:val="Normal"/>
    <w:link w:val="TitleChar"/>
    <w:uiPriority w:val="10"/>
    <w:qFormat/>
    <w:rsid w:val="001C3E1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C3E14"/>
    <w:rPr>
      <w:rFonts w:ascii="Cambria" w:eastAsia="PMingLiU" w:hAnsi="Cambria" w:cs="Times New Roman"/>
      <w:color w:val="17365D"/>
      <w:spacing w:val="5"/>
      <w:kern w:val="28"/>
      <w:sz w:val="52"/>
      <w:szCs w:val="52"/>
      <w:lang w:val="en-AU" w:eastAsia="en-AU"/>
    </w:rPr>
  </w:style>
  <w:style w:type="character" w:customStyle="1" w:styleId="BodyTextChar">
    <w:name w:val="Body Text Char"/>
    <w:basedOn w:val="DefaultParagraphFont"/>
    <w:link w:val="BodyText"/>
    <w:uiPriority w:val="99"/>
    <w:semiHidden/>
    <w:rsid w:val="001C3E14"/>
    <w:rPr>
      <w:rFonts w:ascii="Times New Roman" w:eastAsia="Times New Roman" w:hAnsi="Times New Roman" w:cs="Times New Roman"/>
      <w:szCs w:val="20"/>
      <w:lang w:val="en-AU"/>
    </w:rPr>
  </w:style>
  <w:style w:type="paragraph" w:styleId="BodyText">
    <w:name w:val="Body Text"/>
    <w:basedOn w:val="Normal"/>
    <w:link w:val="BodyTextChar"/>
    <w:uiPriority w:val="99"/>
    <w:semiHidden/>
    <w:unhideWhenUsed/>
    <w:rsid w:val="001C3E14"/>
    <w:pPr>
      <w:spacing w:after="240"/>
      <w:jc w:val="both"/>
    </w:pPr>
    <w:rPr>
      <w:rFonts w:ascii="Times New Roman" w:eastAsia="Times New Roman" w:hAnsi="Times New Roman"/>
      <w:szCs w:val="20"/>
      <w:lang w:eastAsia="en-US"/>
    </w:rPr>
  </w:style>
  <w:style w:type="paragraph" w:styleId="Subtitle">
    <w:name w:val="Subtitle"/>
    <w:basedOn w:val="Normal"/>
    <w:next w:val="Normal"/>
    <w:link w:val="SubtitleChar"/>
    <w:uiPriority w:val="11"/>
    <w:qFormat/>
    <w:rsid w:val="001C3E14"/>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C3E14"/>
    <w:rPr>
      <w:rFonts w:ascii="Cambria" w:eastAsia="PMingLiU" w:hAnsi="Cambria" w:cs="Times New Roman"/>
      <w:i/>
      <w:iCs/>
      <w:color w:val="4F81BD"/>
      <w:spacing w:val="15"/>
      <w:sz w:val="24"/>
      <w:szCs w:val="24"/>
      <w:lang w:val="en-AU" w:eastAsia="en-AU"/>
    </w:rPr>
  </w:style>
  <w:style w:type="character" w:customStyle="1" w:styleId="PlainTextChar">
    <w:name w:val="Plain Text Char"/>
    <w:basedOn w:val="DefaultParagraphFont"/>
    <w:link w:val="PlainText"/>
    <w:uiPriority w:val="99"/>
    <w:semiHidden/>
    <w:rsid w:val="001C3E14"/>
    <w:rPr>
      <w:rFonts w:ascii="Consolas" w:eastAsia="Calibri" w:hAnsi="Consolas" w:cs="Consolas"/>
      <w:sz w:val="21"/>
      <w:szCs w:val="21"/>
      <w:lang w:val="en-AU"/>
    </w:rPr>
  </w:style>
  <w:style w:type="paragraph" w:styleId="PlainText">
    <w:name w:val="Plain Text"/>
    <w:basedOn w:val="Normal"/>
    <w:link w:val="PlainTextChar"/>
    <w:uiPriority w:val="99"/>
    <w:semiHidden/>
    <w:unhideWhenUsed/>
    <w:rsid w:val="001C3E14"/>
    <w:rPr>
      <w:rFonts w:ascii="Consolas" w:eastAsia="Calibri" w:hAnsi="Consolas" w:cs="Consolas"/>
      <w:sz w:val="21"/>
      <w:szCs w:val="21"/>
      <w:lang w:eastAsia="en-US"/>
    </w:rPr>
  </w:style>
  <w:style w:type="character" w:customStyle="1" w:styleId="CommentSubjectChar">
    <w:name w:val="Comment Subject Char"/>
    <w:basedOn w:val="CommentTextChar"/>
    <w:link w:val="CommentSubject"/>
    <w:uiPriority w:val="99"/>
    <w:semiHidden/>
    <w:rsid w:val="001C3E14"/>
    <w:rPr>
      <w:rFonts w:ascii="Calibri" w:eastAsia="PMingLiU" w:hAnsi="Calibri" w:cs="Times New Roman"/>
      <w:b/>
      <w:bCs/>
      <w:sz w:val="20"/>
      <w:szCs w:val="20"/>
      <w:lang w:val="en-AU" w:eastAsia="en-AU"/>
    </w:rPr>
  </w:style>
  <w:style w:type="paragraph" w:styleId="CommentSubject">
    <w:name w:val="annotation subject"/>
    <w:basedOn w:val="CommentText"/>
    <w:next w:val="CommentText"/>
    <w:link w:val="CommentSubjectChar"/>
    <w:uiPriority w:val="99"/>
    <w:semiHidden/>
    <w:unhideWhenUsed/>
    <w:rsid w:val="001C3E14"/>
    <w:rPr>
      <w:b/>
      <w:bCs/>
    </w:rPr>
  </w:style>
  <w:style w:type="character" w:customStyle="1" w:styleId="BalloonTextChar">
    <w:name w:val="Balloon Text Char"/>
    <w:basedOn w:val="DefaultParagraphFont"/>
    <w:link w:val="BalloonText"/>
    <w:uiPriority w:val="99"/>
    <w:semiHidden/>
    <w:rsid w:val="001C3E14"/>
    <w:rPr>
      <w:rFonts w:ascii="Tahoma" w:eastAsia="PMingLiU" w:hAnsi="Tahoma" w:cs="Tahoma"/>
      <w:sz w:val="16"/>
      <w:szCs w:val="16"/>
      <w:lang w:val="en-AU" w:eastAsia="en-AU"/>
    </w:rPr>
  </w:style>
  <w:style w:type="paragraph" w:styleId="BalloonText">
    <w:name w:val="Balloon Text"/>
    <w:basedOn w:val="Normal"/>
    <w:link w:val="BalloonTextChar"/>
    <w:uiPriority w:val="99"/>
    <w:semiHidden/>
    <w:unhideWhenUsed/>
    <w:rsid w:val="001C3E14"/>
    <w:rPr>
      <w:rFonts w:ascii="Tahoma" w:hAnsi="Tahoma" w:cs="Tahoma"/>
      <w:sz w:val="16"/>
      <w:szCs w:val="16"/>
    </w:rPr>
  </w:style>
  <w:style w:type="paragraph" w:styleId="NoSpacing">
    <w:name w:val="No Spacing"/>
    <w:uiPriority w:val="1"/>
    <w:qFormat/>
    <w:rsid w:val="001C3E14"/>
    <w:pPr>
      <w:spacing w:after="0" w:line="240" w:lineRule="auto"/>
    </w:pPr>
    <w:rPr>
      <w:rFonts w:ascii="Calibri" w:eastAsia="Calibri" w:hAnsi="Calibri" w:cs="Times New Roman"/>
      <w:lang w:val="en-AU"/>
    </w:rPr>
  </w:style>
  <w:style w:type="paragraph" w:styleId="ListParagraph">
    <w:name w:val="List Paragraph"/>
    <w:aliases w:val="LAQ Bullets"/>
    <w:basedOn w:val="Normal"/>
    <w:link w:val="ListParagraphChar"/>
    <w:uiPriority w:val="34"/>
    <w:qFormat/>
    <w:rsid w:val="001C3E14"/>
    <w:pPr>
      <w:ind w:left="720"/>
      <w:contextualSpacing/>
    </w:pPr>
  </w:style>
  <w:style w:type="character" w:styleId="FootnoteReference">
    <w:name w:val="footnote reference"/>
    <w:uiPriority w:val="99"/>
    <w:semiHidden/>
    <w:unhideWhenUsed/>
    <w:rsid w:val="001C3E14"/>
    <w:rPr>
      <w:vertAlign w:val="superscript"/>
    </w:rPr>
  </w:style>
  <w:style w:type="character" w:styleId="IntenseEmphasis">
    <w:name w:val="Intense Emphasis"/>
    <w:uiPriority w:val="21"/>
    <w:qFormat/>
    <w:rsid w:val="001C3E14"/>
    <w:rPr>
      <w:b/>
      <w:bCs/>
      <w:i/>
      <w:iCs/>
      <w:color w:val="4F81BD"/>
    </w:rPr>
  </w:style>
  <w:style w:type="character" w:customStyle="1" w:styleId="A1">
    <w:name w:val="A1"/>
    <w:uiPriority w:val="99"/>
    <w:rsid w:val="001C3E14"/>
    <w:rPr>
      <w:rFonts w:ascii="Meta Medium" w:hAnsi="Meta Medium" w:cs="Meta Medium" w:hint="default"/>
      <w:color w:val="000000"/>
      <w:sz w:val="52"/>
      <w:szCs w:val="52"/>
    </w:rPr>
  </w:style>
  <w:style w:type="character" w:customStyle="1" w:styleId="A3">
    <w:name w:val="A3"/>
    <w:uiPriority w:val="99"/>
    <w:rsid w:val="001C3E14"/>
    <w:rPr>
      <w:rFonts w:ascii="Meta Medium" w:hAnsi="Meta Medium" w:cs="Meta Medium" w:hint="default"/>
      <w:color w:val="000000"/>
      <w:sz w:val="20"/>
      <w:szCs w:val="20"/>
    </w:rPr>
  </w:style>
  <w:style w:type="character" w:customStyle="1" w:styleId="filetype1">
    <w:name w:val="filetype1"/>
    <w:rsid w:val="001C3E14"/>
    <w:rPr>
      <w:strike w:val="0"/>
      <w:dstrike w:val="0"/>
      <w:color w:val="000000"/>
      <w:sz w:val="18"/>
      <w:szCs w:val="18"/>
      <w:u w:val="none"/>
      <w:effect w:val="none"/>
    </w:rPr>
  </w:style>
  <w:style w:type="table" w:styleId="TableGrid">
    <w:name w:val="Table Grid"/>
    <w:basedOn w:val="TableNormal"/>
    <w:uiPriority w:val="59"/>
    <w:rsid w:val="001C3E14"/>
    <w:pPr>
      <w:spacing w:after="0" w:line="240" w:lineRule="auto"/>
    </w:pPr>
    <w:rPr>
      <w:rFonts w:ascii="Calibri" w:eastAsia="PMingLiU"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A61"/>
    <w:rPr>
      <w:sz w:val="16"/>
      <w:szCs w:val="16"/>
    </w:rPr>
  </w:style>
  <w:style w:type="character" w:customStyle="1" w:styleId="ListParagraphChar">
    <w:name w:val="List Paragraph Char"/>
    <w:aliases w:val="LAQ Bullets Char"/>
    <w:link w:val="ListParagraph"/>
    <w:uiPriority w:val="34"/>
    <w:locked/>
    <w:rsid w:val="00AF46FA"/>
    <w:rPr>
      <w:rFonts w:ascii="Calibri" w:eastAsia="PMingLiU" w:hAnsi="Calibri" w:cs="Times New Roman"/>
      <w:lang w:val="en-AU" w:eastAsia="en-AU"/>
    </w:rPr>
  </w:style>
  <w:style w:type="character" w:styleId="Hyperlink">
    <w:name w:val="Hyperlink"/>
    <w:basedOn w:val="DefaultParagraphFont"/>
    <w:uiPriority w:val="99"/>
    <w:unhideWhenUsed/>
    <w:rsid w:val="009B739D"/>
    <w:rPr>
      <w:color w:val="0563C1" w:themeColor="hyperlink"/>
      <w:u w:val="single"/>
    </w:rPr>
  </w:style>
  <w:style w:type="paragraph" w:customStyle="1" w:styleId="Default">
    <w:name w:val="Default"/>
    <w:rsid w:val="009B739D"/>
    <w:pPr>
      <w:autoSpaceDE w:val="0"/>
      <w:autoSpaceDN w:val="0"/>
      <w:adjustRightInd w:val="0"/>
      <w:spacing w:after="0" w:line="240" w:lineRule="auto"/>
    </w:pPr>
    <w:rPr>
      <w:rFonts w:ascii="Calibri" w:hAnsi="Calibri" w:cs="Calibri"/>
      <w:color w:val="000000"/>
      <w:sz w:val="24"/>
      <w:szCs w:val="24"/>
    </w:rPr>
  </w:style>
  <w:style w:type="paragraph" w:customStyle="1" w:styleId="Informal1">
    <w:name w:val="Informal1"/>
    <w:basedOn w:val="Normal"/>
    <w:uiPriority w:val="99"/>
    <w:rsid w:val="00785321"/>
    <w:pPr>
      <w:spacing w:before="60" w:after="60"/>
    </w:pPr>
    <w:rPr>
      <w:rFonts w:ascii="Times New Roman" w:eastAsia="Times New Roman" w:hAnsi="Times New Roman"/>
      <w:sz w:val="24"/>
      <w:szCs w:val="24"/>
      <w:lang w:eastAsia="en-US"/>
    </w:rPr>
  </w:style>
  <w:style w:type="paragraph" w:styleId="TOCHeading">
    <w:name w:val="TOC Heading"/>
    <w:basedOn w:val="Heading1"/>
    <w:next w:val="Normal"/>
    <w:uiPriority w:val="39"/>
    <w:unhideWhenUsed/>
    <w:qFormat/>
    <w:rsid w:val="00785321"/>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785321"/>
    <w:pPr>
      <w:tabs>
        <w:tab w:val="left" w:pos="660"/>
        <w:tab w:val="right" w:leader="dot" w:pos="9016"/>
      </w:tabs>
      <w:spacing w:after="100" w:line="256" w:lineRule="auto"/>
    </w:pPr>
    <w:rPr>
      <w:rFonts w:asciiTheme="minorHAnsi" w:eastAsiaTheme="minorHAnsi" w:hAnsiTheme="minorHAnsi" w:cstheme="minorBidi"/>
      <w:lang w:eastAsia="en-US"/>
    </w:rPr>
  </w:style>
  <w:style w:type="paragraph" w:styleId="TOC2">
    <w:name w:val="toc 2"/>
    <w:basedOn w:val="Normal"/>
    <w:next w:val="Normal"/>
    <w:autoRedefine/>
    <w:uiPriority w:val="39"/>
    <w:unhideWhenUsed/>
    <w:rsid w:val="00785321"/>
    <w:pPr>
      <w:spacing w:after="100" w:line="256" w:lineRule="auto"/>
      <w:ind w:left="220"/>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785321"/>
    <w:rPr>
      <w:color w:val="605E5C"/>
      <w:shd w:val="clear" w:color="auto" w:fill="E1DFDD"/>
    </w:rPr>
  </w:style>
  <w:style w:type="character" w:styleId="FollowedHyperlink">
    <w:name w:val="FollowedHyperlink"/>
    <w:basedOn w:val="DefaultParagraphFont"/>
    <w:uiPriority w:val="99"/>
    <w:semiHidden/>
    <w:unhideWhenUsed/>
    <w:rsid w:val="00785321"/>
    <w:rPr>
      <w:color w:val="954F72" w:themeColor="followedHyperlink"/>
      <w:u w:val="single"/>
    </w:rPr>
  </w:style>
  <w:style w:type="character" w:styleId="IntenseReference">
    <w:name w:val="Intense Reference"/>
    <w:basedOn w:val="DefaultParagraphFont"/>
    <w:uiPriority w:val="32"/>
    <w:qFormat/>
    <w:rsid w:val="00785321"/>
    <w:rPr>
      <w:b/>
      <w:bCs/>
      <w:smallCaps/>
      <w:color w:val="4472C4" w:themeColor="accent1"/>
      <w:spacing w:val="5"/>
    </w:rPr>
  </w:style>
  <w:style w:type="paragraph" w:styleId="Revision">
    <w:name w:val="Revision"/>
    <w:hidden/>
    <w:uiPriority w:val="99"/>
    <w:semiHidden/>
    <w:rsid w:val="00785321"/>
    <w:pPr>
      <w:spacing w:after="0" w:line="240" w:lineRule="auto"/>
    </w:pPr>
    <w:rPr>
      <w:lang w:val="en-AU"/>
    </w:rPr>
  </w:style>
  <w:style w:type="paragraph" w:customStyle="1" w:styleId="msonormal0">
    <w:name w:val="msonormal"/>
    <w:basedOn w:val="Normal"/>
    <w:rsid w:val="00785321"/>
    <w:pPr>
      <w:spacing w:before="100" w:beforeAutospacing="1" w:after="100" w:afterAutospacing="1"/>
    </w:pPr>
    <w:rPr>
      <w:rFonts w:ascii="Times New Roman" w:eastAsia="Times New Roman" w:hAnsi="Times New Roman"/>
      <w:sz w:val="24"/>
      <w:szCs w:val="24"/>
    </w:rPr>
  </w:style>
  <w:style w:type="character" w:styleId="EndnoteReference">
    <w:name w:val="endnote reference"/>
    <w:basedOn w:val="DefaultParagraphFont"/>
    <w:uiPriority w:val="99"/>
    <w:semiHidden/>
    <w:unhideWhenUsed/>
    <w:rsid w:val="00785321"/>
    <w:rPr>
      <w:vertAlign w:val="superscript"/>
    </w:rPr>
  </w:style>
  <w:style w:type="paragraph" w:styleId="NormalWeb">
    <w:name w:val="Normal (Web)"/>
    <w:basedOn w:val="Normal"/>
    <w:uiPriority w:val="99"/>
    <w:semiHidden/>
    <w:unhideWhenUsed/>
    <w:rsid w:val="00785321"/>
    <w:pPr>
      <w:spacing w:after="160" w:line="256" w:lineRule="auto"/>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munerationtribunal.qld.gov.au/determinations/2014-determination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cuments.parliament.qld.gov.au/tableoffice/tabledpapers/2021/5721T1472.pdf" TargetMode="External"/><Relationship Id="rId2" Type="http://schemas.openxmlformats.org/officeDocument/2006/relationships/customXml" Target="../customXml/item2.xml"/><Relationship Id="rId16" Type="http://schemas.openxmlformats.org/officeDocument/2006/relationships/hyperlink" Target="https://documents.parliament.qld.gov.au/tableoffice/tabledpapers/2021/5721T1473.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292A93F71024993675B7DA20B8CFF" ma:contentTypeVersion="4" ma:contentTypeDescription="Create a new document." ma:contentTypeScope="" ma:versionID="b03a3d0faec2d1b86d8cacc0e5063f76">
  <xsd:schema xmlns:xsd="http://www.w3.org/2001/XMLSchema" xmlns:xs="http://www.w3.org/2001/XMLSchema" xmlns:p="http://schemas.microsoft.com/office/2006/metadata/properties" xmlns:ns2="57fead0d-0826-4da0-ab99-493a8d2b8746" targetNamespace="http://schemas.microsoft.com/office/2006/metadata/properties" ma:root="true" ma:fieldsID="6cb76465255be7f9cc6eda6ee6486b35" ns2:_="">
    <xsd:import namespace="57fead0d-0826-4da0-ab99-493a8d2b8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ead0d-0826-4da0-ab99-493a8d2b8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9672E-56D4-4F22-BE57-EFF780BA073C}">
  <ds:schemaRefs>
    <ds:schemaRef ds:uri="http://schemas.openxmlformats.org/officeDocument/2006/bibliography"/>
  </ds:schemaRefs>
</ds:datastoreItem>
</file>

<file path=customXml/itemProps2.xml><?xml version="1.0" encoding="utf-8"?>
<ds:datastoreItem xmlns:ds="http://schemas.openxmlformats.org/officeDocument/2006/customXml" ds:itemID="{D1EDD9C7-FC8A-450F-917D-8F31C06AA7CB}">
  <ds:schemaRefs>
    <ds:schemaRef ds:uri="http://schemas.microsoft.com/sharepoint/v3/contenttype/forms"/>
  </ds:schemaRefs>
</ds:datastoreItem>
</file>

<file path=customXml/itemProps3.xml><?xml version="1.0" encoding="utf-8"?>
<ds:datastoreItem xmlns:ds="http://schemas.openxmlformats.org/officeDocument/2006/customXml" ds:itemID="{1894781D-60E6-4F1B-9816-4F1FE76D6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ead0d-0826-4da0-ab99-493a8d2b8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30A28-E3D5-4611-91E6-55924EC7B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Links>
    <vt:vector size="18" baseType="variant">
      <vt:variant>
        <vt:i4>3932287</vt:i4>
      </vt:variant>
      <vt:variant>
        <vt:i4>6</vt:i4>
      </vt:variant>
      <vt:variant>
        <vt:i4>0</vt:i4>
      </vt:variant>
      <vt:variant>
        <vt:i4>5</vt:i4>
      </vt:variant>
      <vt:variant>
        <vt:lpwstr>https://www.remunerationtribunal.qld.gov.au/determinations/2014-determinations.aspx</vt:lpwstr>
      </vt:variant>
      <vt:variant>
        <vt:lpwstr/>
      </vt:variant>
      <vt:variant>
        <vt:i4>3145780</vt:i4>
      </vt:variant>
      <vt:variant>
        <vt:i4>3</vt:i4>
      </vt:variant>
      <vt:variant>
        <vt:i4>0</vt:i4>
      </vt:variant>
      <vt:variant>
        <vt:i4>5</vt:i4>
      </vt:variant>
      <vt:variant>
        <vt:lpwstr>https://documents.parliament.qld.gov.au/tableoffice/tabledpapers/2021/5721T1472.pdf</vt:lpwstr>
      </vt:variant>
      <vt:variant>
        <vt:lpwstr/>
      </vt:variant>
      <vt:variant>
        <vt:i4>3145781</vt:i4>
      </vt:variant>
      <vt:variant>
        <vt:i4>0</vt:i4>
      </vt:variant>
      <vt:variant>
        <vt:i4>0</vt:i4>
      </vt:variant>
      <vt:variant>
        <vt:i4>5</vt:i4>
      </vt:variant>
      <vt:variant>
        <vt:lpwstr>https://documents.parliament.qld.gov.au/tableoffice/tabledpapers/2021/5721T1473.pdf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Brouwer</dc:creator>
  <cp:keywords/>
  <dc:description/>
  <cp:lastModifiedBy>Leigh Elliott</cp:lastModifiedBy>
  <cp:revision>14</cp:revision>
  <cp:lastPrinted>2022-03-29T02:39:00Z</cp:lastPrinted>
  <dcterms:created xsi:type="dcterms:W3CDTF">2022-03-21T00:08:00Z</dcterms:created>
  <dcterms:modified xsi:type="dcterms:W3CDTF">2022-03-30T02:35:00Z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0x010100E82292A93F71024993675B7DA20B8CFF</vt:lpwstr>
  </property>
</Properties>
</file>