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53271" w14:textId="505B9C32" w:rsidR="007F271C" w:rsidRPr="009C73F8" w:rsidRDefault="00CB5F0E" w:rsidP="007F271C">
      <w:pPr>
        <w:rPr>
          <w:rFonts w:ascii="Arial" w:hAnsi="Arial" w:cs="Arial"/>
          <w:lang w:val="en-US"/>
        </w:rPr>
        <w:sectPr w:rsidR="007F271C" w:rsidRPr="009C73F8" w:rsidSect="004B14B0">
          <w:headerReference w:type="default" r:id="rId11"/>
          <w:footerReference w:type="default" r:id="rId12"/>
          <w:pgSz w:w="11906" w:h="16838"/>
          <w:pgMar w:top="1440" w:right="1133" w:bottom="1440" w:left="1134" w:header="709" w:footer="0" w:gutter="0"/>
          <w:pgNumType w:start="1"/>
          <w:cols w:space="708"/>
          <w:titlePg/>
          <w:docGrid w:linePitch="360"/>
        </w:sectPr>
      </w:pPr>
      <w:r w:rsidRPr="009C73F8">
        <w:rPr>
          <w:noProof/>
          <w:lang w:val="en-US" w:eastAsia="en-US"/>
        </w:rPr>
        <mc:AlternateContent>
          <mc:Choice Requires="wps">
            <w:drawing>
              <wp:anchor distT="0" distB="0" distL="114300" distR="114300" simplePos="0" relativeHeight="251661312" behindDoc="0" locked="0" layoutInCell="1" allowOverlap="1" wp14:anchorId="783EA57D" wp14:editId="1D679ED4">
                <wp:simplePos x="0" y="0"/>
                <wp:positionH relativeFrom="page">
                  <wp:posOffset>3776133</wp:posOffset>
                </wp:positionH>
                <wp:positionV relativeFrom="page">
                  <wp:posOffset>8695267</wp:posOffset>
                </wp:positionV>
                <wp:extent cx="2753784" cy="843280"/>
                <wp:effectExtent l="0" t="0" r="8890"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784"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188EE5AE"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21/2020</w:t>
                            </w:r>
                          </w:p>
                          <w:p w14:paraId="77AAFA25" w14:textId="50E8AD01" w:rsidR="007F63CD" w:rsidRPr="00CB5F0E" w:rsidRDefault="000B5BCA"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 xml:space="preserve">13 </w:t>
                            </w:r>
                            <w:r w:rsidR="007F63CD">
                              <w:rPr>
                                <w:rFonts w:ascii="Arial" w:hAnsi="Arial"/>
                                <w:bCs w:val="0"/>
                                <w:color w:val="2F5496" w:themeColor="accent1" w:themeShade="BF"/>
                                <w:sz w:val="40"/>
                                <w:szCs w:val="40"/>
                              </w:rPr>
                              <w:t>AUGUST</w:t>
                            </w:r>
                            <w:r w:rsidR="007F63CD" w:rsidRPr="00CB5F0E">
                              <w:rPr>
                                <w:rFonts w:ascii="Arial" w:hAnsi="Arial"/>
                                <w:bCs w:val="0"/>
                                <w:color w:val="2F5496" w:themeColor="accent1" w:themeShade="BF"/>
                                <w:sz w:val="40"/>
                                <w:szCs w:val="40"/>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783EA57D" id="_x0000_t202" coordsize="21600,21600" o:spt="202" path="m,l,21600r21600,l21600,xe">
                <v:stroke joinstyle="miter"/>
                <v:path gradientshapeok="t" o:connecttype="rect"/>
              </v:shapetype>
              <v:shape id="Text Box 153" o:spid="_x0000_s1026" type="#_x0000_t202" style="position:absolute;margin-left:297.35pt;margin-top:684.65pt;width:216.8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" filled="f" stroked="f" strokeweight=".5pt">
                <v:textbox inset="0,0,0,0">
                  <w:txbxContent>
                    <w:p w14:paraId="62AF3C58" w14:textId="188EE5AE"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21/2020</w:t>
                      </w:r>
                    </w:p>
                    <w:p w14:paraId="77AAFA25" w14:textId="50E8AD01" w:rsidR="007F63CD" w:rsidRPr="00CB5F0E" w:rsidRDefault="000B5BCA"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 xml:space="preserve">13 </w:t>
                      </w:r>
                      <w:r w:rsidR="007F63CD">
                        <w:rPr>
                          <w:rFonts w:ascii="Arial" w:hAnsi="Arial"/>
                          <w:bCs w:val="0"/>
                          <w:color w:val="2F5496" w:themeColor="accent1" w:themeShade="BF"/>
                          <w:sz w:val="40"/>
                          <w:szCs w:val="40"/>
                        </w:rPr>
                        <w:t>AUGUST</w:t>
                      </w:r>
                      <w:r w:rsidR="007F63CD" w:rsidRPr="00CB5F0E">
                        <w:rPr>
                          <w:rFonts w:ascii="Arial" w:hAnsi="Arial"/>
                          <w:bCs w:val="0"/>
                          <w:color w:val="2F5496" w:themeColor="accent1" w:themeShade="BF"/>
                          <w:sz w:val="40"/>
                          <w:szCs w:val="40"/>
                        </w:rPr>
                        <w:t xml:space="preserve"> 2020</w:t>
                      </w:r>
                    </w:p>
                  </w:txbxContent>
                </v:textbox>
                <w10:wrap type="square" anchorx="page" anchory="page"/>
              </v:shape>
            </w:pict>
          </mc:Fallback>
        </mc:AlternateContent>
      </w:r>
      <w:r w:rsidR="00AC7678" w:rsidRPr="009C73F8">
        <w:rPr>
          <w:noProof/>
          <w:lang w:val="en-US" w:eastAsia="en-US"/>
        </w:rPr>
        <w:drawing>
          <wp:anchor distT="0" distB="0" distL="114300" distR="114300" simplePos="0" relativeHeight="251663360" behindDoc="1" locked="0" layoutInCell="1" allowOverlap="1" wp14:anchorId="6029E394" wp14:editId="3BDC7197">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sidRPr="009C73F8">
        <w:rPr>
          <w:noProof/>
          <w:lang w:val="en-US" w:eastAsia="en-US"/>
        </w:rPr>
        <mc:AlternateContent>
          <mc:Choice Requires="wps">
            <w:drawing>
              <wp:anchor distT="0" distB="0" distL="114300" distR="114300" simplePos="0" relativeHeight="251660288" behindDoc="0" locked="0" layoutInCell="1" allowOverlap="1" wp14:anchorId="6FA19274" wp14:editId="247C4F0C">
                <wp:simplePos x="0" y="0"/>
                <wp:positionH relativeFrom="margin">
                  <wp:posOffset>3170555</wp:posOffset>
                </wp:positionH>
                <wp:positionV relativeFrom="page">
                  <wp:posOffset>2947670</wp:posOffset>
                </wp:positionV>
                <wp:extent cx="3143885" cy="34810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3481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12580808" w14:textId="77777777" w:rsidR="007F63CD" w:rsidRDefault="007F63CD" w:rsidP="007F271C">
                            <w:pPr>
                              <w:pStyle w:val="Heading1"/>
                              <w:spacing w:before="0"/>
                              <w:rPr>
                                <w:rFonts w:ascii="Arial" w:hAnsi="Arial"/>
                                <w:b w:val="0"/>
                                <w:bCs w:val="0"/>
                                <w:color w:val="06B6E4"/>
                                <w:sz w:val="52"/>
                                <w:szCs w:val="52"/>
                              </w:rPr>
                            </w:pPr>
                          </w:p>
                          <w:p w14:paraId="66A7DC72" w14:textId="1E068113" w:rsidR="007F63CD" w:rsidRPr="00CB5F0E" w:rsidRDefault="007F63CD" w:rsidP="007F271C">
                            <w:pPr>
                              <w:pStyle w:val="Heading1"/>
                              <w:spacing w:before="0"/>
                              <w:rPr>
                                <w:i/>
                                <w:sz w:val="60"/>
                                <w:szCs w:val="60"/>
                              </w:rPr>
                            </w:pPr>
                            <w:r w:rsidRPr="00CB5F0E">
                              <w:rPr>
                                <w:rFonts w:ascii="Arial" w:hAnsi="Arial"/>
                                <w:b w:val="0"/>
                                <w:bCs w:val="0"/>
                                <w:i/>
                                <w:color w:val="06B6E4"/>
                                <w:sz w:val="60"/>
                                <w:szCs w:val="60"/>
                              </w:rPr>
                              <w:t xml:space="preserve">Review of Base and Additional Salary </w:t>
                            </w:r>
                            <w:r>
                              <w:rPr>
                                <w:rFonts w:ascii="Arial" w:hAnsi="Arial"/>
                                <w:b w:val="0"/>
                                <w:bCs w:val="0"/>
                                <w:i/>
                                <w:color w:val="06B6E4"/>
                                <w:sz w:val="60"/>
                                <w:szCs w:val="60"/>
                              </w:rPr>
                              <w:t>R</w:t>
                            </w:r>
                            <w:r w:rsidRPr="00CB5F0E">
                              <w:rPr>
                                <w:rFonts w:ascii="Arial" w:hAnsi="Arial"/>
                                <w:b w:val="0"/>
                                <w:bCs w:val="0"/>
                                <w:i/>
                                <w:color w:val="06B6E4"/>
                                <w:sz w:val="60"/>
                                <w:szCs w:val="60"/>
                              </w:rPr>
                              <w:t xml:space="preserve">ates and the Allowances System 2020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A19274" id="Text Box 154" o:spid="_x0000_s1027" type="#_x0000_t202" style="position:absolute;margin-left:249.65pt;margin-top:232.1pt;width:247.55pt;height:27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" filled="f" stroked="f" strokeweight=".5pt">
                <v:textbox inset="0,0,0,0">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12580808" w14:textId="77777777" w:rsidR="007F63CD" w:rsidRDefault="007F63CD" w:rsidP="007F271C">
                      <w:pPr>
                        <w:pStyle w:val="Heading1"/>
                        <w:spacing w:before="0"/>
                        <w:rPr>
                          <w:rFonts w:ascii="Arial" w:hAnsi="Arial"/>
                          <w:b w:val="0"/>
                          <w:bCs w:val="0"/>
                          <w:color w:val="06B6E4"/>
                          <w:sz w:val="52"/>
                          <w:szCs w:val="52"/>
                        </w:rPr>
                      </w:pPr>
                    </w:p>
                    <w:p w14:paraId="66A7DC72" w14:textId="1E068113" w:rsidR="007F63CD" w:rsidRPr="00CB5F0E" w:rsidRDefault="007F63CD" w:rsidP="007F271C">
                      <w:pPr>
                        <w:pStyle w:val="Heading1"/>
                        <w:spacing w:before="0"/>
                        <w:rPr>
                          <w:i/>
                          <w:sz w:val="60"/>
                          <w:szCs w:val="60"/>
                        </w:rPr>
                      </w:pPr>
                      <w:r w:rsidRPr="00CB5F0E">
                        <w:rPr>
                          <w:rFonts w:ascii="Arial" w:hAnsi="Arial"/>
                          <w:b w:val="0"/>
                          <w:bCs w:val="0"/>
                          <w:i/>
                          <w:color w:val="06B6E4"/>
                          <w:sz w:val="60"/>
                          <w:szCs w:val="60"/>
                        </w:rPr>
                        <w:t xml:space="preserve">Review of Base and Additional Salary </w:t>
                      </w:r>
                      <w:r>
                        <w:rPr>
                          <w:rFonts w:ascii="Arial" w:hAnsi="Arial"/>
                          <w:b w:val="0"/>
                          <w:bCs w:val="0"/>
                          <w:i/>
                          <w:color w:val="06B6E4"/>
                          <w:sz w:val="60"/>
                          <w:szCs w:val="60"/>
                        </w:rPr>
                        <w:t>R</w:t>
                      </w:r>
                      <w:r w:rsidRPr="00CB5F0E">
                        <w:rPr>
                          <w:rFonts w:ascii="Arial" w:hAnsi="Arial"/>
                          <w:b w:val="0"/>
                          <w:bCs w:val="0"/>
                          <w:i/>
                          <w:color w:val="06B6E4"/>
                          <w:sz w:val="60"/>
                          <w:szCs w:val="60"/>
                        </w:rPr>
                        <w:t xml:space="preserve">ates and the Allowances System 2020 </w:t>
                      </w:r>
                    </w:p>
                  </w:txbxContent>
                </v:textbox>
                <w10:wrap type="square" anchorx="margin" anchory="page"/>
              </v:shape>
            </w:pict>
          </mc:Fallback>
        </mc:AlternateContent>
      </w:r>
      <w:r w:rsidR="007F271C" w:rsidRPr="009C73F8">
        <w:rPr>
          <w:rFonts w:ascii="Arial" w:hAnsi="Arial" w:cs="Arial"/>
          <w:lang w:val="en-US"/>
        </w:rPr>
        <w:br w:type="page"/>
      </w:r>
    </w:p>
    <w:p w14:paraId="117CFD88" w14:textId="53D25C02"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lastRenderedPageBreak/>
        <w:t xml:space="preserve">Determination </w:t>
      </w:r>
      <w:r w:rsidR="00DD22CB" w:rsidRPr="009C73F8">
        <w:rPr>
          <w:rFonts w:ascii="Arial" w:hAnsi="Arial" w:cs="Arial"/>
          <w:lang w:val="en-US"/>
        </w:rPr>
        <w:t>21</w:t>
      </w:r>
      <w:r w:rsidRPr="009C73F8">
        <w:rPr>
          <w:rFonts w:ascii="Arial" w:hAnsi="Arial" w:cs="Arial"/>
          <w:lang w:val="en-US"/>
        </w:rPr>
        <w:t>/20</w:t>
      </w:r>
      <w:r w:rsidR="00DD22CB" w:rsidRPr="009C73F8">
        <w:rPr>
          <w:rFonts w:ascii="Arial" w:hAnsi="Arial" w:cs="Arial"/>
          <w:lang w:val="en-US"/>
        </w:rPr>
        <w:t>20</w:t>
      </w:r>
    </w:p>
    <w:p w14:paraId="03171424" w14:textId="77777777"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t>Background and Reasons</w:t>
      </w:r>
    </w:p>
    <w:p w14:paraId="276C525E" w14:textId="77777777" w:rsidR="007F271C" w:rsidRPr="009C73F8" w:rsidRDefault="007F271C" w:rsidP="00CB5F0E">
      <w:pPr>
        <w:pStyle w:val="Heading1"/>
        <w:spacing w:after="240"/>
        <w:rPr>
          <w:rFonts w:ascii="Arial" w:hAnsi="Arial" w:cs="Arial"/>
        </w:rPr>
      </w:pPr>
      <w:r w:rsidRPr="009C73F8">
        <w:rPr>
          <w:rFonts w:ascii="Arial" w:hAnsi="Arial" w:cs="Arial"/>
        </w:rPr>
        <w:t>Tribunal roles and responsibilities</w:t>
      </w:r>
    </w:p>
    <w:p w14:paraId="717523CF" w14:textId="77777777" w:rsidR="00F47788" w:rsidRPr="009C73F8" w:rsidRDefault="007F271C" w:rsidP="000F1D8C">
      <w:pPr>
        <w:spacing w:after="200" w:line="276" w:lineRule="auto"/>
        <w:rPr>
          <w:rFonts w:ascii="Arial" w:eastAsia="Calibri" w:hAnsi="Arial" w:cs="Arial"/>
        </w:rPr>
      </w:pPr>
      <w:r w:rsidRPr="009C73F8">
        <w:rPr>
          <w:rFonts w:ascii="Arial" w:eastAsia="Calibri" w:hAnsi="Arial" w:cs="Arial"/>
        </w:rPr>
        <w:t xml:space="preserve">The </w:t>
      </w:r>
      <w:r w:rsidRPr="009C73F8">
        <w:rPr>
          <w:rFonts w:ascii="Arial" w:eastAsia="Calibri" w:hAnsi="Arial" w:cs="Arial"/>
          <w:i/>
        </w:rPr>
        <w:t>Queensland Independent Remuneration Tribunal Act 2013</w:t>
      </w:r>
      <w:r w:rsidRPr="009C73F8">
        <w:rPr>
          <w:rFonts w:ascii="Arial" w:eastAsia="Calibri" w:hAnsi="Arial" w:cs="Arial"/>
        </w:rPr>
        <w:t xml:space="preserve"> (</w:t>
      </w:r>
      <w:r w:rsidR="00693828" w:rsidRPr="009C73F8">
        <w:rPr>
          <w:rFonts w:ascii="Arial" w:eastAsia="Calibri" w:hAnsi="Arial" w:cs="Arial"/>
        </w:rPr>
        <w:t xml:space="preserve">the </w:t>
      </w:r>
      <w:r w:rsidRPr="009C73F8">
        <w:rPr>
          <w:rFonts w:ascii="Arial" w:eastAsia="Calibri" w:hAnsi="Arial" w:cs="Arial"/>
        </w:rPr>
        <w:t>Act) provides for the Queensland Independent Remuneration Tribunal (</w:t>
      </w:r>
      <w:r w:rsidR="00693828" w:rsidRPr="009C73F8">
        <w:rPr>
          <w:rFonts w:ascii="Arial" w:eastAsia="Calibri" w:hAnsi="Arial" w:cs="Arial"/>
        </w:rPr>
        <w:t xml:space="preserve">the </w:t>
      </w:r>
      <w:r w:rsidRPr="009C73F8">
        <w:rPr>
          <w:rFonts w:ascii="Arial" w:eastAsia="Calibri" w:hAnsi="Arial" w:cs="Arial"/>
        </w:rPr>
        <w:t>Tribunal) to</w:t>
      </w:r>
      <w:r w:rsidR="00F47788" w:rsidRPr="009C73F8">
        <w:rPr>
          <w:rFonts w:ascii="Arial" w:eastAsia="Calibri" w:hAnsi="Arial" w:cs="Arial"/>
        </w:rPr>
        <w:t>:</w:t>
      </w:r>
    </w:p>
    <w:p w14:paraId="01A096DA" w14:textId="5582A9A0" w:rsidR="007F271C" w:rsidRPr="009C73F8" w:rsidRDefault="007F271C" w:rsidP="00AC7BED">
      <w:pPr>
        <w:pStyle w:val="ListParagraph"/>
        <w:numPr>
          <w:ilvl w:val="0"/>
          <w:numId w:val="13"/>
        </w:numPr>
        <w:spacing w:after="200" w:line="276" w:lineRule="auto"/>
        <w:rPr>
          <w:rFonts w:ascii="Arial" w:eastAsia="Calibri" w:hAnsi="Arial" w:cs="Arial"/>
        </w:rPr>
      </w:pPr>
      <w:r w:rsidRPr="009C73F8">
        <w:rPr>
          <w:rFonts w:ascii="Arial" w:eastAsia="Calibri" w:hAnsi="Arial" w:cs="Arial"/>
        </w:rPr>
        <w:t xml:space="preserve">review and determine remuneration (annual and additional salaries, </w:t>
      </w:r>
      <w:proofErr w:type="gramStart"/>
      <w:r w:rsidRPr="009C73F8">
        <w:rPr>
          <w:rFonts w:ascii="Arial" w:eastAsia="Calibri" w:hAnsi="Arial" w:cs="Arial"/>
        </w:rPr>
        <w:t>allowances</w:t>
      </w:r>
      <w:proofErr w:type="gramEnd"/>
      <w:r w:rsidRPr="009C73F8">
        <w:rPr>
          <w:rFonts w:ascii="Arial" w:eastAsia="Calibri" w:hAnsi="Arial" w:cs="Arial"/>
        </w:rPr>
        <w:t xml:space="preserve"> and entitlements) in connection with </w:t>
      </w:r>
      <w:r w:rsidR="00C97892" w:rsidRPr="009C73F8">
        <w:rPr>
          <w:rFonts w:ascii="Arial" w:eastAsia="Calibri" w:hAnsi="Arial" w:cs="Arial"/>
        </w:rPr>
        <w:t>m</w:t>
      </w:r>
      <w:r w:rsidRPr="009C73F8">
        <w:rPr>
          <w:rFonts w:ascii="Arial" w:eastAsia="Calibri" w:hAnsi="Arial" w:cs="Arial"/>
        </w:rPr>
        <w:t xml:space="preserve">embers and former </w:t>
      </w:r>
      <w:r w:rsidR="00C97892" w:rsidRPr="009C73F8">
        <w:rPr>
          <w:rFonts w:ascii="Arial" w:eastAsia="Calibri" w:hAnsi="Arial" w:cs="Arial"/>
        </w:rPr>
        <w:t>m</w:t>
      </w:r>
      <w:r w:rsidRPr="009C73F8">
        <w:rPr>
          <w:rFonts w:ascii="Arial" w:eastAsia="Calibri" w:hAnsi="Arial" w:cs="Arial"/>
        </w:rPr>
        <w:t>embers of the Queensland Legislative Assembly (</w:t>
      </w:r>
      <w:r w:rsidR="00F47788" w:rsidRPr="009C73F8">
        <w:rPr>
          <w:rFonts w:ascii="Arial" w:eastAsia="Calibri" w:hAnsi="Arial" w:cs="Arial"/>
        </w:rPr>
        <w:t>Remuneration Determination</w:t>
      </w:r>
      <w:r w:rsidRPr="009C73F8">
        <w:rPr>
          <w:rFonts w:ascii="Arial" w:eastAsia="Calibri" w:hAnsi="Arial" w:cs="Arial"/>
        </w:rPr>
        <w:t>)</w:t>
      </w:r>
      <w:r w:rsidR="00F47788" w:rsidRPr="009C73F8">
        <w:rPr>
          <w:rFonts w:ascii="Arial" w:eastAsia="Calibri" w:hAnsi="Arial" w:cs="Arial"/>
        </w:rPr>
        <w:t>, and</w:t>
      </w:r>
    </w:p>
    <w:p w14:paraId="10B23DC3" w14:textId="125DCEBA" w:rsidR="00F47788" w:rsidRPr="009C73F8" w:rsidRDefault="000F1D8C" w:rsidP="00AC7BED">
      <w:pPr>
        <w:pStyle w:val="ListParagraph"/>
        <w:numPr>
          <w:ilvl w:val="0"/>
          <w:numId w:val="13"/>
        </w:numPr>
        <w:spacing w:after="200" w:line="276" w:lineRule="auto"/>
        <w:rPr>
          <w:rFonts w:ascii="Arial" w:eastAsia="Calibri" w:hAnsi="Arial" w:cs="Arial"/>
        </w:rPr>
      </w:pPr>
      <w:r w:rsidRPr="009C73F8">
        <w:rPr>
          <w:rFonts w:ascii="Arial" w:eastAsia="Calibri" w:hAnsi="Arial" w:cs="Arial"/>
        </w:rPr>
        <w:t xml:space="preserve">review and determine </w:t>
      </w:r>
      <w:r w:rsidR="00CB5F0E" w:rsidRPr="009C73F8">
        <w:rPr>
          <w:rFonts w:ascii="Arial" w:eastAsia="Calibri" w:hAnsi="Arial" w:cs="Arial"/>
        </w:rPr>
        <w:t xml:space="preserve">entitlements of cross bench members to additional staff members (Additional Staff Member Determination). </w:t>
      </w:r>
    </w:p>
    <w:p w14:paraId="778BD718" w14:textId="7E5044F2" w:rsidR="007F271C" w:rsidRPr="009C73F8" w:rsidRDefault="00CB5F0E" w:rsidP="000F1D8C">
      <w:pPr>
        <w:spacing w:after="200" w:line="276" w:lineRule="auto"/>
        <w:rPr>
          <w:rFonts w:ascii="Arial" w:eastAsia="Calibri" w:hAnsi="Arial" w:cs="Arial"/>
        </w:rPr>
      </w:pPr>
      <w:r w:rsidRPr="009C73F8">
        <w:rPr>
          <w:rFonts w:ascii="Arial" w:eastAsia="Calibri" w:hAnsi="Arial" w:cs="Arial"/>
        </w:rPr>
        <w:t>For a Remuneration Determination</w:t>
      </w:r>
      <w:r w:rsidR="007F271C" w:rsidRPr="009C73F8">
        <w:rPr>
          <w:rFonts w:ascii="Arial" w:eastAsia="Calibri" w:hAnsi="Arial" w:cs="Arial"/>
        </w:rPr>
        <w:t xml:space="preserve"> the Tribunal may have regard to the value to the community of a </w:t>
      </w:r>
      <w:r w:rsidR="00C97892" w:rsidRPr="009C73F8">
        <w:rPr>
          <w:rFonts w:ascii="Arial" w:eastAsia="Calibri" w:hAnsi="Arial" w:cs="Arial"/>
        </w:rPr>
        <w:t>m</w:t>
      </w:r>
      <w:r w:rsidR="007F271C" w:rsidRPr="009C73F8">
        <w:rPr>
          <w:rFonts w:ascii="Arial" w:eastAsia="Calibri" w:hAnsi="Arial" w:cs="Arial"/>
        </w:rPr>
        <w:t xml:space="preserve">ember carrying out their role, functions and responsibilities and the importance of a </w:t>
      </w:r>
      <w:r w:rsidR="00C97892" w:rsidRPr="009C73F8">
        <w:rPr>
          <w:rFonts w:ascii="Arial" w:eastAsia="Calibri" w:hAnsi="Arial" w:cs="Arial"/>
        </w:rPr>
        <w:t>m</w:t>
      </w:r>
      <w:r w:rsidR="007F271C" w:rsidRPr="009C73F8">
        <w:rPr>
          <w:rFonts w:ascii="Arial" w:eastAsia="Calibri" w:hAnsi="Arial" w:cs="Arial"/>
        </w:rPr>
        <w:t>ember being appropriately remunerated for carrying out their role. The Tribunal may also consider relevant laws and any other matters the Tribunal considers appropriate including, for example, the size of an electorate (section 29</w:t>
      </w:r>
      <w:r w:rsidR="00920CB1" w:rsidRPr="009C73F8">
        <w:rPr>
          <w:rFonts w:ascii="Arial" w:eastAsia="Calibri" w:hAnsi="Arial" w:cs="Arial"/>
        </w:rPr>
        <w:t xml:space="preserve"> of the Act</w:t>
      </w:r>
      <w:r w:rsidR="007F271C" w:rsidRPr="009C73F8">
        <w:rPr>
          <w:rFonts w:ascii="Arial" w:eastAsia="Calibri" w:hAnsi="Arial" w:cs="Arial"/>
        </w:rPr>
        <w:t xml:space="preserve">). </w:t>
      </w:r>
      <w:r w:rsidRPr="009C73F8">
        <w:rPr>
          <w:rFonts w:ascii="Arial" w:eastAsia="Calibri" w:hAnsi="Arial" w:cs="Arial"/>
        </w:rPr>
        <w:t xml:space="preserve">Before </w:t>
      </w:r>
      <w:proofErr w:type="gramStart"/>
      <w:r w:rsidRPr="009C73F8">
        <w:rPr>
          <w:rFonts w:ascii="Arial" w:eastAsia="Calibri" w:hAnsi="Arial" w:cs="Arial"/>
        </w:rPr>
        <w:t>making a Determination</w:t>
      </w:r>
      <w:proofErr w:type="gramEnd"/>
      <w:r w:rsidRPr="009C73F8">
        <w:rPr>
          <w:rFonts w:ascii="Arial" w:eastAsia="Calibri" w:hAnsi="Arial" w:cs="Arial"/>
        </w:rPr>
        <w:t>, the Tribunal must consult with and consider the views of the Clerk of the Parliament (the Clerk).</w:t>
      </w:r>
    </w:p>
    <w:p w14:paraId="38C0AE89" w14:textId="2C47E71E" w:rsidR="00CB5F0E" w:rsidRPr="009C73F8" w:rsidRDefault="00B9737A" w:rsidP="000F1D8C">
      <w:pPr>
        <w:spacing w:after="200" w:line="276" w:lineRule="auto"/>
        <w:rPr>
          <w:rFonts w:ascii="Arial" w:eastAsia="Calibri" w:hAnsi="Arial" w:cs="Arial"/>
        </w:rPr>
      </w:pPr>
      <w:r w:rsidRPr="009C73F8">
        <w:rPr>
          <w:rFonts w:ascii="Arial" w:eastAsia="Calibri" w:hAnsi="Arial" w:cs="Arial"/>
        </w:rPr>
        <w:t xml:space="preserve">The Tribunal is </w:t>
      </w:r>
      <w:r w:rsidR="00D50997" w:rsidRPr="009C73F8">
        <w:rPr>
          <w:rFonts w:ascii="Arial" w:eastAsia="Calibri" w:hAnsi="Arial" w:cs="Arial"/>
        </w:rPr>
        <w:t>required</w:t>
      </w:r>
      <w:r w:rsidRPr="009C73F8">
        <w:rPr>
          <w:rFonts w:ascii="Arial" w:eastAsia="Calibri" w:hAnsi="Arial" w:cs="Arial"/>
        </w:rPr>
        <w:t xml:space="preserve"> to make</w:t>
      </w:r>
      <w:r w:rsidR="00CB5F0E" w:rsidRPr="009C73F8">
        <w:rPr>
          <w:rFonts w:ascii="Arial" w:eastAsia="Calibri" w:hAnsi="Arial" w:cs="Arial"/>
        </w:rPr>
        <w:t xml:space="preserve"> </w:t>
      </w:r>
      <w:r w:rsidR="00D50997" w:rsidRPr="009C73F8">
        <w:rPr>
          <w:rFonts w:ascii="Arial" w:eastAsia="Calibri" w:hAnsi="Arial" w:cs="Arial"/>
        </w:rPr>
        <w:t xml:space="preserve">a </w:t>
      </w:r>
      <w:r w:rsidR="00CB5F0E" w:rsidRPr="009C73F8">
        <w:rPr>
          <w:rFonts w:ascii="Arial" w:eastAsia="Calibri" w:hAnsi="Arial" w:cs="Arial"/>
        </w:rPr>
        <w:t>Remuneration</w:t>
      </w:r>
      <w:r w:rsidR="007F271C" w:rsidRPr="009C73F8">
        <w:rPr>
          <w:rFonts w:ascii="Arial" w:eastAsia="Calibri" w:hAnsi="Arial" w:cs="Arial"/>
        </w:rPr>
        <w:t xml:space="preserve"> Determination</w:t>
      </w:r>
      <w:r w:rsidRPr="009C73F8">
        <w:rPr>
          <w:rFonts w:ascii="Arial" w:eastAsia="Calibri" w:hAnsi="Arial" w:cs="Arial"/>
        </w:rPr>
        <w:t xml:space="preserve"> on base and additional salary </w:t>
      </w:r>
      <w:r w:rsidR="00D50997" w:rsidRPr="009C73F8">
        <w:rPr>
          <w:rFonts w:ascii="Arial" w:eastAsia="Calibri" w:hAnsi="Arial" w:cs="Arial"/>
        </w:rPr>
        <w:t>within 90 days after a</w:t>
      </w:r>
      <w:r w:rsidRPr="009C73F8">
        <w:rPr>
          <w:rFonts w:ascii="Arial" w:eastAsia="Calibri" w:hAnsi="Arial" w:cs="Arial"/>
        </w:rPr>
        <w:t xml:space="preserve"> public service salary decision</w:t>
      </w:r>
      <w:r w:rsidR="00AE03D6" w:rsidRPr="009C73F8">
        <w:rPr>
          <w:rFonts w:ascii="Arial" w:eastAsia="Calibri" w:hAnsi="Arial" w:cs="Arial"/>
        </w:rPr>
        <w:t xml:space="preserve"> is made</w:t>
      </w:r>
      <w:r w:rsidRPr="009C73F8">
        <w:rPr>
          <w:rFonts w:ascii="Arial" w:eastAsia="Calibri" w:hAnsi="Arial" w:cs="Arial"/>
        </w:rPr>
        <w:t>. The determination is capped at the rate of increase to the salary or wage of a departmental employee under the public service salary decision and must take effect on the same day the increases take effect for the public service employee under the public service salary decision</w:t>
      </w:r>
      <w:r w:rsidR="00A9743D" w:rsidRPr="009C73F8">
        <w:rPr>
          <w:rFonts w:ascii="Arial" w:eastAsia="Calibri" w:hAnsi="Arial" w:cs="Arial"/>
        </w:rPr>
        <w:t xml:space="preserve"> (section 31A of the Act)</w:t>
      </w:r>
      <w:r w:rsidRPr="009C73F8">
        <w:rPr>
          <w:rFonts w:ascii="Arial" w:eastAsia="Calibri" w:hAnsi="Arial" w:cs="Arial"/>
        </w:rPr>
        <w:t xml:space="preserve">. </w:t>
      </w:r>
    </w:p>
    <w:p w14:paraId="6713CB9F" w14:textId="231D1CA6" w:rsidR="007F271C" w:rsidRPr="009C73F8" w:rsidRDefault="00D50997" w:rsidP="000F1D8C">
      <w:pPr>
        <w:spacing w:after="200" w:line="276" w:lineRule="auto"/>
        <w:rPr>
          <w:rFonts w:ascii="Arial" w:eastAsia="Calibri" w:hAnsi="Arial" w:cs="Arial"/>
        </w:rPr>
      </w:pPr>
      <w:r w:rsidRPr="009C73F8">
        <w:rPr>
          <w:rFonts w:ascii="Arial" w:eastAsia="Calibri" w:hAnsi="Arial" w:cs="Arial"/>
        </w:rPr>
        <w:t>T</w:t>
      </w:r>
      <w:r w:rsidR="007F271C" w:rsidRPr="009C73F8">
        <w:rPr>
          <w:rFonts w:ascii="Arial" w:eastAsia="Calibri" w:hAnsi="Arial" w:cs="Arial"/>
        </w:rPr>
        <w:t xml:space="preserve">he Tribunal must ensure any allowances paid to a </w:t>
      </w:r>
      <w:r w:rsidR="00C97892" w:rsidRPr="009C73F8">
        <w:rPr>
          <w:rFonts w:ascii="Arial" w:eastAsia="Calibri" w:hAnsi="Arial" w:cs="Arial"/>
        </w:rPr>
        <w:t>m</w:t>
      </w:r>
      <w:r w:rsidR="007F271C" w:rsidRPr="009C73F8">
        <w:rPr>
          <w:rFonts w:ascii="Arial" w:eastAsia="Calibri" w:hAnsi="Arial" w:cs="Arial"/>
        </w:rPr>
        <w:t xml:space="preserve">ember reflect the amount of reasonable expenses incurred by a </w:t>
      </w:r>
      <w:r w:rsidR="00C97892" w:rsidRPr="009C73F8">
        <w:rPr>
          <w:rFonts w:ascii="Arial" w:eastAsia="Calibri" w:hAnsi="Arial" w:cs="Arial"/>
        </w:rPr>
        <w:t>m</w:t>
      </w:r>
      <w:r w:rsidR="007F271C" w:rsidRPr="009C73F8">
        <w:rPr>
          <w:rFonts w:ascii="Arial" w:eastAsia="Calibri" w:hAnsi="Arial" w:cs="Arial"/>
        </w:rPr>
        <w:t xml:space="preserve">ember in servicing their electorate; ensure these allowances are not a substitute for other remuneration; and ensure accommodation services or other entitlements provided for in section 55 of the Act are not </w:t>
      </w:r>
      <w:proofErr w:type="gramStart"/>
      <w:r w:rsidR="007F271C" w:rsidRPr="009C73F8">
        <w:rPr>
          <w:rFonts w:ascii="Arial" w:eastAsia="Calibri" w:hAnsi="Arial" w:cs="Arial"/>
        </w:rPr>
        <w:t>taken into account</w:t>
      </w:r>
      <w:proofErr w:type="gramEnd"/>
      <w:r w:rsidR="00920CB1" w:rsidRPr="009C73F8">
        <w:rPr>
          <w:rFonts w:ascii="Arial" w:eastAsia="Calibri" w:hAnsi="Arial" w:cs="Arial"/>
        </w:rPr>
        <w:t>,</w:t>
      </w:r>
      <w:r w:rsidR="007F271C" w:rsidRPr="009C73F8">
        <w:rPr>
          <w:rFonts w:ascii="Arial" w:eastAsia="Calibri" w:hAnsi="Arial" w:cs="Arial"/>
        </w:rPr>
        <w:t xml:space="preserve"> </w:t>
      </w:r>
      <w:r w:rsidR="00615054" w:rsidRPr="009C73F8">
        <w:rPr>
          <w:rFonts w:ascii="Arial" w:eastAsia="Calibri" w:hAnsi="Arial" w:cs="Arial"/>
        </w:rPr>
        <w:t>such as</w:t>
      </w:r>
      <w:r w:rsidR="007F271C" w:rsidRPr="009C73F8">
        <w:rPr>
          <w:rFonts w:ascii="Arial" w:eastAsia="Calibri" w:hAnsi="Arial" w:cs="Arial"/>
        </w:rPr>
        <w:t xml:space="preserve"> electorate offices, staffing support and major items of office equipment (section 30</w:t>
      </w:r>
      <w:r w:rsidR="00920CB1" w:rsidRPr="009C73F8">
        <w:rPr>
          <w:rFonts w:ascii="Arial" w:eastAsia="Calibri" w:hAnsi="Arial" w:cs="Arial"/>
        </w:rPr>
        <w:t xml:space="preserve"> of the Act</w:t>
      </w:r>
      <w:r w:rsidR="007F271C" w:rsidRPr="009C73F8">
        <w:rPr>
          <w:rFonts w:ascii="Arial" w:eastAsia="Calibri" w:hAnsi="Arial" w:cs="Arial"/>
        </w:rPr>
        <w:t xml:space="preserve">). </w:t>
      </w:r>
    </w:p>
    <w:p w14:paraId="2FB3A5AC" w14:textId="09736271" w:rsidR="005E2545" w:rsidRPr="009C73F8" w:rsidRDefault="005E2545" w:rsidP="00086EA3">
      <w:pPr>
        <w:pStyle w:val="Subtitle"/>
        <w:spacing w:after="160" w:line="259" w:lineRule="auto"/>
        <w:rPr>
          <w:rFonts w:ascii="Arial" w:hAnsi="Arial" w:cs="Arial"/>
          <w:sz w:val="23"/>
          <w:szCs w:val="23"/>
        </w:rPr>
      </w:pPr>
      <w:r w:rsidRPr="009C73F8">
        <w:rPr>
          <w:rFonts w:ascii="Arial" w:hAnsi="Arial" w:cs="Arial"/>
          <w:sz w:val="23"/>
          <w:szCs w:val="23"/>
        </w:rPr>
        <w:t xml:space="preserve">Submissions and consultation </w:t>
      </w:r>
    </w:p>
    <w:p w14:paraId="19E777A0" w14:textId="4D1F1A99" w:rsidR="004E08FC" w:rsidRPr="009C73F8" w:rsidRDefault="00EE263F" w:rsidP="000F1D8C">
      <w:pPr>
        <w:spacing w:after="200" w:line="276" w:lineRule="auto"/>
        <w:rPr>
          <w:rFonts w:ascii="Arial" w:eastAsia="Calibri" w:hAnsi="Arial" w:cs="Arial"/>
        </w:rPr>
      </w:pPr>
      <w:r w:rsidRPr="009C73F8">
        <w:rPr>
          <w:rFonts w:ascii="Arial" w:eastAsia="Calibri" w:hAnsi="Arial" w:cs="Arial"/>
        </w:rPr>
        <w:t xml:space="preserve">As part of the review process the Tribunal considered submissions received from the </w:t>
      </w:r>
      <w:r w:rsidR="00615054" w:rsidRPr="009C73F8">
        <w:rPr>
          <w:rFonts w:ascii="Arial" w:eastAsia="Calibri" w:hAnsi="Arial" w:cs="Arial"/>
        </w:rPr>
        <w:t xml:space="preserve">Committee of the Legislative Assembly (CLA), the </w:t>
      </w:r>
      <w:r w:rsidR="007776CC" w:rsidRPr="009C73F8">
        <w:rPr>
          <w:rFonts w:ascii="Arial" w:eastAsia="Calibri" w:hAnsi="Arial" w:cs="Arial"/>
        </w:rPr>
        <w:t xml:space="preserve">Premier, the </w:t>
      </w:r>
      <w:r w:rsidRPr="009C73F8">
        <w:rPr>
          <w:rFonts w:ascii="Arial" w:eastAsia="Calibri" w:hAnsi="Arial" w:cs="Arial"/>
        </w:rPr>
        <w:t>Clerk, and the Manager of Opposition Business on</w:t>
      </w:r>
      <w:r w:rsidR="007776CC" w:rsidRPr="009C73F8">
        <w:rPr>
          <w:rFonts w:ascii="Arial" w:eastAsia="Calibri" w:hAnsi="Arial" w:cs="Arial"/>
        </w:rPr>
        <w:t xml:space="preserve"> salary and</w:t>
      </w:r>
      <w:r w:rsidRPr="009C73F8">
        <w:rPr>
          <w:rFonts w:ascii="Arial" w:eastAsia="Calibri" w:hAnsi="Arial" w:cs="Arial"/>
        </w:rPr>
        <w:t xml:space="preserve"> allowances issues and attended a CLA meeting.</w:t>
      </w:r>
    </w:p>
    <w:p w14:paraId="5FE4FB2E" w14:textId="0C8AD4A9" w:rsidR="009814CC" w:rsidRPr="009C73F8" w:rsidRDefault="009814CC" w:rsidP="000F1D8C">
      <w:pPr>
        <w:spacing w:after="200" w:line="276" w:lineRule="auto"/>
        <w:rPr>
          <w:rFonts w:ascii="Arial" w:eastAsia="Calibri" w:hAnsi="Arial" w:cs="Arial"/>
        </w:rPr>
      </w:pPr>
    </w:p>
    <w:p w14:paraId="450D2073" w14:textId="77777777" w:rsidR="008678A8" w:rsidRPr="009C73F8" w:rsidRDefault="008678A8" w:rsidP="000F1D8C">
      <w:pPr>
        <w:spacing w:after="200" w:line="276" w:lineRule="auto"/>
        <w:rPr>
          <w:rFonts w:ascii="Arial" w:eastAsia="Calibri" w:hAnsi="Arial" w:cs="Arial"/>
        </w:rPr>
      </w:pPr>
    </w:p>
    <w:p w14:paraId="23A2B971" w14:textId="0896610E" w:rsidR="00EE263F" w:rsidRPr="009C73F8" w:rsidRDefault="00EE263F" w:rsidP="000F1D8C">
      <w:pPr>
        <w:spacing w:after="200" w:line="276" w:lineRule="auto"/>
        <w:rPr>
          <w:rFonts w:ascii="Arial" w:eastAsia="Calibri" w:hAnsi="Arial" w:cs="Arial"/>
        </w:rPr>
      </w:pPr>
      <w:r w:rsidRPr="009C73F8">
        <w:rPr>
          <w:rFonts w:ascii="Arial" w:eastAsia="Calibri" w:hAnsi="Arial" w:cs="Arial"/>
        </w:rPr>
        <w:br w:type="page"/>
      </w:r>
    </w:p>
    <w:p w14:paraId="46B5B140" w14:textId="5B7769FF" w:rsidR="00EE263F" w:rsidRPr="009C73F8" w:rsidRDefault="007776CC" w:rsidP="007776CC">
      <w:pPr>
        <w:pStyle w:val="Heading1"/>
        <w:spacing w:after="240"/>
        <w:rPr>
          <w:rFonts w:ascii="Arial" w:hAnsi="Arial" w:cs="Arial"/>
        </w:rPr>
      </w:pPr>
      <w:r w:rsidRPr="009C73F8">
        <w:rPr>
          <w:rFonts w:ascii="Arial" w:hAnsi="Arial" w:cs="Arial"/>
        </w:rPr>
        <w:lastRenderedPageBreak/>
        <w:t xml:space="preserve">1. </w:t>
      </w:r>
      <w:r w:rsidR="00EE263F" w:rsidRPr="009C73F8">
        <w:rPr>
          <w:rFonts w:ascii="Arial" w:hAnsi="Arial" w:cs="Arial"/>
        </w:rPr>
        <w:t xml:space="preserve">Salary </w:t>
      </w:r>
    </w:p>
    <w:p w14:paraId="1742E053" w14:textId="08D2E762" w:rsidR="0056495C" w:rsidRPr="009C73F8" w:rsidRDefault="0056495C" w:rsidP="007776CC">
      <w:pPr>
        <w:pStyle w:val="Subtitle"/>
        <w:spacing w:after="160" w:line="259" w:lineRule="auto"/>
        <w:rPr>
          <w:rFonts w:ascii="Arial" w:hAnsi="Arial" w:cs="Arial"/>
          <w:sz w:val="23"/>
          <w:szCs w:val="23"/>
        </w:rPr>
      </w:pPr>
      <w:r w:rsidRPr="009C73F8">
        <w:rPr>
          <w:rFonts w:ascii="Arial" w:hAnsi="Arial" w:cs="Arial"/>
          <w:sz w:val="23"/>
          <w:szCs w:val="23"/>
        </w:rPr>
        <w:t>Salary for members</w:t>
      </w:r>
    </w:p>
    <w:p w14:paraId="7045946A" w14:textId="330A9A32" w:rsidR="0056495C" w:rsidRPr="009C73F8" w:rsidRDefault="0056495C" w:rsidP="0056495C">
      <w:pPr>
        <w:spacing w:after="200" w:line="276" w:lineRule="auto"/>
        <w:rPr>
          <w:rFonts w:ascii="Arial" w:eastAsia="Calibri" w:hAnsi="Arial" w:cs="Arial"/>
        </w:rPr>
      </w:pPr>
      <w:r w:rsidRPr="009C73F8">
        <w:rPr>
          <w:rFonts w:ascii="Arial" w:eastAsia="Calibri" w:hAnsi="Arial" w:cs="Arial"/>
        </w:rPr>
        <w:t>Members are entitled to an annual base salary (section 41</w:t>
      </w:r>
      <w:r w:rsidR="00920CB1" w:rsidRPr="009C73F8">
        <w:rPr>
          <w:rFonts w:ascii="Arial" w:eastAsia="Calibri" w:hAnsi="Arial" w:cs="Arial"/>
        </w:rPr>
        <w:t xml:space="preserve"> of the</w:t>
      </w:r>
      <w:r w:rsidRPr="009C73F8">
        <w:rPr>
          <w:rFonts w:ascii="Arial" w:eastAsia="Calibri" w:hAnsi="Arial" w:cs="Arial"/>
        </w:rPr>
        <w:t xml:space="preserve"> Act) and an annual additional salary for holding an ‘office’ (section 42</w:t>
      </w:r>
      <w:r w:rsidR="00920CB1" w:rsidRPr="009C73F8">
        <w:rPr>
          <w:rFonts w:ascii="Arial" w:eastAsia="Calibri" w:hAnsi="Arial" w:cs="Arial"/>
        </w:rPr>
        <w:t xml:space="preserve"> of the</w:t>
      </w:r>
      <w:r w:rsidRPr="009C73F8">
        <w:rPr>
          <w:rFonts w:ascii="Arial" w:eastAsia="Calibri" w:hAnsi="Arial" w:cs="Arial"/>
        </w:rPr>
        <w:t xml:space="preserve"> Act). A member who holds an office is entitled to one additional salary on top of their annual base salary. Additional salary rates for various officeholders are grouped into bands with reference to the additional salary rate of the Premier</w:t>
      </w:r>
      <w:r w:rsidR="00DE3CEE" w:rsidRPr="009C73F8">
        <w:rPr>
          <w:rFonts w:ascii="Arial" w:eastAsia="Calibri" w:hAnsi="Arial" w:cs="Arial"/>
        </w:rPr>
        <w:t xml:space="preserve">. </w:t>
      </w:r>
    </w:p>
    <w:p w14:paraId="535D1613" w14:textId="7DB40753" w:rsidR="0056495C" w:rsidRPr="009C73F8" w:rsidRDefault="0056495C" w:rsidP="0056495C">
      <w:pPr>
        <w:spacing w:after="200" w:line="276" w:lineRule="auto"/>
        <w:rPr>
          <w:rFonts w:ascii="Arial" w:eastAsia="Calibri" w:hAnsi="Arial" w:cs="Arial"/>
        </w:rPr>
      </w:pPr>
      <w:r w:rsidRPr="009C73F8">
        <w:rPr>
          <w:rFonts w:ascii="Arial" w:eastAsia="Calibri" w:hAnsi="Arial" w:cs="Arial"/>
        </w:rPr>
        <w:t>The current base and additional salary rates are provided below and are effective on and from 1 September 2017:</w:t>
      </w:r>
    </w:p>
    <w:tbl>
      <w:tblPr>
        <w:tblStyle w:val="TableGrid"/>
        <w:tblW w:w="8784" w:type="dxa"/>
        <w:tblLook w:val="04A0" w:firstRow="1" w:lastRow="0" w:firstColumn="1" w:lastColumn="0" w:noHBand="0" w:noVBand="1"/>
      </w:tblPr>
      <w:tblGrid>
        <w:gridCol w:w="2197"/>
        <w:gridCol w:w="1417"/>
        <w:gridCol w:w="1615"/>
        <w:gridCol w:w="1712"/>
        <w:gridCol w:w="1843"/>
      </w:tblGrid>
      <w:tr w:rsidR="0056495C" w:rsidRPr="009C73F8" w14:paraId="6EC75C7E" w14:textId="77777777" w:rsidTr="00615054">
        <w:trPr>
          <w:cantSplit/>
          <w:tblHeader/>
        </w:trPr>
        <w:tc>
          <w:tcPr>
            <w:tcW w:w="2197" w:type="dxa"/>
            <w:shd w:val="clear" w:color="auto" w:fill="8EAADB" w:themeFill="accent1" w:themeFillTint="99"/>
          </w:tcPr>
          <w:p w14:paraId="3524BC48"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Member/Office Holder</w:t>
            </w:r>
          </w:p>
        </w:tc>
        <w:tc>
          <w:tcPr>
            <w:tcW w:w="1417" w:type="dxa"/>
            <w:shd w:val="clear" w:color="auto" w:fill="8EAADB" w:themeFill="accent1" w:themeFillTint="99"/>
          </w:tcPr>
          <w:p w14:paraId="5D57E6C7"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Annual base salary ($)</w:t>
            </w:r>
          </w:p>
        </w:tc>
        <w:tc>
          <w:tcPr>
            <w:tcW w:w="1615" w:type="dxa"/>
            <w:shd w:val="clear" w:color="auto" w:fill="8EAADB" w:themeFill="accent1" w:themeFillTint="99"/>
          </w:tcPr>
          <w:p w14:paraId="103D4B38"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Annual Additional Salary ($)</w:t>
            </w:r>
          </w:p>
        </w:tc>
        <w:tc>
          <w:tcPr>
            <w:tcW w:w="1712" w:type="dxa"/>
            <w:shd w:val="clear" w:color="auto" w:fill="8EAADB" w:themeFill="accent1" w:themeFillTint="99"/>
          </w:tcPr>
          <w:p w14:paraId="1A7B5E8A"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Relativity to Premier’s additional salary</w:t>
            </w:r>
          </w:p>
        </w:tc>
        <w:tc>
          <w:tcPr>
            <w:tcW w:w="1843" w:type="dxa"/>
            <w:shd w:val="clear" w:color="auto" w:fill="8EAADB" w:themeFill="accent1" w:themeFillTint="99"/>
          </w:tcPr>
          <w:p w14:paraId="09E69AA5"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Annual Aggregate Salary ($)</w:t>
            </w:r>
          </w:p>
        </w:tc>
      </w:tr>
      <w:tr w:rsidR="0056495C" w:rsidRPr="009C73F8" w14:paraId="2073828E" w14:textId="77777777" w:rsidTr="008D49A8">
        <w:trPr>
          <w:cantSplit/>
        </w:trPr>
        <w:tc>
          <w:tcPr>
            <w:tcW w:w="2197" w:type="dxa"/>
          </w:tcPr>
          <w:p w14:paraId="71344295"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 xml:space="preserve">Band 1 </w:t>
            </w:r>
          </w:p>
          <w:p w14:paraId="7CEB5539"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Premier</w:t>
            </w:r>
          </w:p>
        </w:tc>
        <w:tc>
          <w:tcPr>
            <w:tcW w:w="1417" w:type="dxa"/>
          </w:tcPr>
          <w:p w14:paraId="6B3158B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5F25BC7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$240,833</w:t>
            </w:r>
          </w:p>
        </w:tc>
        <w:tc>
          <w:tcPr>
            <w:tcW w:w="1712" w:type="dxa"/>
          </w:tcPr>
          <w:p w14:paraId="45BD47C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100%</w:t>
            </w:r>
          </w:p>
        </w:tc>
        <w:tc>
          <w:tcPr>
            <w:tcW w:w="1843" w:type="dxa"/>
          </w:tcPr>
          <w:p w14:paraId="0976750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$399,955</w:t>
            </w:r>
          </w:p>
        </w:tc>
      </w:tr>
      <w:tr w:rsidR="0056495C" w:rsidRPr="009C73F8" w14:paraId="5D62FB49" w14:textId="77777777" w:rsidTr="008D49A8">
        <w:trPr>
          <w:cantSplit/>
        </w:trPr>
        <w:tc>
          <w:tcPr>
            <w:tcW w:w="2197" w:type="dxa"/>
          </w:tcPr>
          <w:p w14:paraId="0A64373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2</w:t>
            </w:r>
          </w:p>
          <w:p w14:paraId="41A7D4BC"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Deputy Premier</w:t>
            </w:r>
          </w:p>
        </w:tc>
        <w:tc>
          <w:tcPr>
            <w:tcW w:w="1417" w:type="dxa"/>
          </w:tcPr>
          <w:p w14:paraId="5E99054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2F6BDACB"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$192,666</w:t>
            </w:r>
          </w:p>
        </w:tc>
        <w:tc>
          <w:tcPr>
            <w:tcW w:w="1712" w:type="dxa"/>
          </w:tcPr>
          <w:p w14:paraId="57B57676"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80%</w:t>
            </w:r>
          </w:p>
        </w:tc>
        <w:tc>
          <w:tcPr>
            <w:tcW w:w="1843" w:type="dxa"/>
          </w:tcPr>
          <w:p w14:paraId="678E691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$351,788</w:t>
            </w:r>
          </w:p>
        </w:tc>
      </w:tr>
      <w:tr w:rsidR="0056495C" w:rsidRPr="009C73F8" w14:paraId="3D58A1B8" w14:textId="77777777" w:rsidTr="008D49A8">
        <w:trPr>
          <w:cantSplit/>
        </w:trPr>
        <w:tc>
          <w:tcPr>
            <w:tcW w:w="2197" w:type="dxa"/>
          </w:tcPr>
          <w:p w14:paraId="394F0E7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3</w:t>
            </w:r>
          </w:p>
          <w:p w14:paraId="28EBABA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Minister and Leader of the House</w:t>
            </w:r>
          </w:p>
        </w:tc>
        <w:tc>
          <w:tcPr>
            <w:tcW w:w="1417" w:type="dxa"/>
          </w:tcPr>
          <w:p w14:paraId="7423E746"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206C539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$174,604</w:t>
            </w:r>
          </w:p>
        </w:tc>
        <w:tc>
          <w:tcPr>
            <w:tcW w:w="1712" w:type="dxa"/>
          </w:tcPr>
          <w:p w14:paraId="76CF250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72.5%</w:t>
            </w:r>
          </w:p>
        </w:tc>
        <w:tc>
          <w:tcPr>
            <w:tcW w:w="1843" w:type="dxa"/>
          </w:tcPr>
          <w:p w14:paraId="03CBD28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$333,726</w:t>
            </w:r>
          </w:p>
        </w:tc>
      </w:tr>
      <w:tr w:rsidR="0056495C" w:rsidRPr="009C73F8" w14:paraId="50EFD438" w14:textId="77777777" w:rsidTr="008D49A8">
        <w:trPr>
          <w:cantSplit/>
        </w:trPr>
        <w:tc>
          <w:tcPr>
            <w:tcW w:w="2197" w:type="dxa"/>
          </w:tcPr>
          <w:p w14:paraId="0C40E26B"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4</w:t>
            </w:r>
          </w:p>
          <w:p w14:paraId="303ADCCB"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Minister</w:t>
            </w:r>
          </w:p>
          <w:p w14:paraId="5D351AE1"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Leader of the Opposition</w:t>
            </w:r>
          </w:p>
        </w:tc>
        <w:tc>
          <w:tcPr>
            <w:tcW w:w="1417" w:type="dxa"/>
          </w:tcPr>
          <w:p w14:paraId="59552059"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31C6E4C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$168,583</w:t>
            </w:r>
          </w:p>
        </w:tc>
        <w:tc>
          <w:tcPr>
            <w:tcW w:w="1712" w:type="dxa"/>
          </w:tcPr>
          <w:p w14:paraId="3643761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70%</w:t>
            </w:r>
          </w:p>
        </w:tc>
        <w:tc>
          <w:tcPr>
            <w:tcW w:w="1843" w:type="dxa"/>
          </w:tcPr>
          <w:p w14:paraId="55163B5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$327,705</w:t>
            </w:r>
          </w:p>
        </w:tc>
      </w:tr>
      <w:tr w:rsidR="0056495C" w:rsidRPr="009C73F8" w14:paraId="118ED83D" w14:textId="77777777" w:rsidTr="008D49A8">
        <w:trPr>
          <w:cantSplit/>
        </w:trPr>
        <w:tc>
          <w:tcPr>
            <w:tcW w:w="2197" w:type="dxa"/>
          </w:tcPr>
          <w:p w14:paraId="1BAD5119"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5</w:t>
            </w:r>
          </w:p>
          <w:p w14:paraId="630CDD0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Speaker</w:t>
            </w:r>
          </w:p>
          <w:p w14:paraId="7F87870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Assistant Minister and Leader of the House</w:t>
            </w:r>
          </w:p>
        </w:tc>
        <w:tc>
          <w:tcPr>
            <w:tcW w:w="1417" w:type="dxa"/>
          </w:tcPr>
          <w:p w14:paraId="0D5396D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5ACFAA9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$144,500</w:t>
            </w:r>
          </w:p>
        </w:tc>
        <w:tc>
          <w:tcPr>
            <w:tcW w:w="1712" w:type="dxa"/>
          </w:tcPr>
          <w:p w14:paraId="6BCFA0C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60%</w:t>
            </w:r>
          </w:p>
        </w:tc>
        <w:tc>
          <w:tcPr>
            <w:tcW w:w="1843" w:type="dxa"/>
          </w:tcPr>
          <w:p w14:paraId="1757777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$303,622</w:t>
            </w:r>
          </w:p>
        </w:tc>
      </w:tr>
      <w:tr w:rsidR="0056495C" w:rsidRPr="009C73F8" w14:paraId="07522B43" w14:textId="77777777" w:rsidTr="008D49A8">
        <w:trPr>
          <w:cantSplit/>
        </w:trPr>
        <w:tc>
          <w:tcPr>
            <w:tcW w:w="2197" w:type="dxa"/>
          </w:tcPr>
          <w:p w14:paraId="300A64FE"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6</w:t>
            </w:r>
          </w:p>
          <w:p w14:paraId="19D12D0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Leader of the House</w:t>
            </w:r>
          </w:p>
        </w:tc>
        <w:tc>
          <w:tcPr>
            <w:tcW w:w="1417" w:type="dxa"/>
          </w:tcPr>
          <w:p w14:paraId="08B94DB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47E66B9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$120,417</w:t>
            </w:r>
          </w:p>
        </w:tc>
        <w:tc>
          <w:tcPr>
            <w:tcW w:w="1712" w:type="dxa"/>
          </w:tcPr>
          <w:p w14:paraId="6DB9ABE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50%</w:t>
            </w:r>
          </w:p>
        </w:tc>
        <w:tc>
          <w:tcPr>
            <w:tcW w:w="1843" w:type="dxa"/>
          </w:tcPr>
          <w:p w14:paraId="0705DF3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$279,539</w:t>
            </w:r>
          </w:p>
        </w:tc>
      </w:tr>
      <w:tr w:rsidR="0056495C" w:rsidRPr="009C73F8" w14:paraId="2723128F" w14:textId="77777777" w:rsidTr="008D49A8">
        <w:trPr>
          <w:cantSplit/>
        </w:trPr>
        <w:tc>
          <w:tcPr>
            <w:tcW w:w="2197" w:type="dxa"/>
          </w:tcPr>
          <w:p w14:paraId="765265BB"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7</w:t>
            </w:r>
          </w:p>
          <w:p w14:paraId="5215A035"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Deputy Leader of the Opposition</w:t>
            </w:r>
          </w:p>
        </w:tc>
        <w:tc>
          <w:tcPr>
            <w:tcW w:w="1417" w:type="dxa"/>
          </w:tcPr>
          <w:p w14:paraId="22AFF30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530B7BA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$96,333</w:t>
            </w:r>
          </w:p>
        </w:tc>
        <w:tc>
          <w:tcPr>
            <w:tcW w:w="1712" w:type="dxa"/>
          </w:tcPr>
          <w:p w14:paraId="7A94B32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40%</w:t>
            </w:r>
          </w:p>
        </w:tc>
        <w:tc>
          <w:tcPr>
            <w:tcW w:w="1843" w:type="dxa"/>
          </w:tcPr>
          <w:p w14:paraId="35A8C89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$255,455</w:t>
            </w:r>
          </w:p>
        </w:tc>
      </w:tr>
      <w:tr w:rsidR="0056495C" w:rsidRPr="009C73F8" w14:paraId="390F4830" w14:textId="77777777" w:rsidTr="008D49A8">
        <w:trPr>
          <w:cantSplit/>
        </w:trPr>
        <w:tc>
          <w:tcPr>
            <w:tcW w:w="2197" w:type="dxa"/>
          </w:tcPr>
          <w:p w14:paraId="078BAE0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8</w:t>
            </w:r>
          </w:p>
          <w:p w14:paraId="14A0E1B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Deputy Speaker</w:t>
            </w:r>
          </w:p>
          <w:p w14:paraId="7B0118A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Assistant Minister</w:t>
            </w:r>
          </w:p>
          <w:p w14:paraId="741AB3D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Manager of Opposition Business</w:t>
            </w:r>
          </w:p>
          <w:p w14:paraId="3F718FA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Chief Government Whip</w:t>
            </w:r>
          </w:p>
        </w:tc>
        <w:tc>
          <w:tcPr>
            <w:tcW w:w="1417" w:type="dxa"/>
          </w:tcPr>
          <w:p w14:paraId="02A1BA9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117FE51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$84,292</w:t>
            </w:r>
          </w:p>
        </w:tc>
        <w:tc>
          <w:tcPr>
            <w:tcW w:w="1712" w:type="dxa"/>
          </w:tcPr>
          <w:p w14:paraId="72833EC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35%</w:t>
            </w:r>
          </w:p>
        </w:tc>
        <w:tc>
          <w:tcPr>
            <w:tcW w:w="1843" w:type="dxa"/>
          </w:tcPr>
          <w:p w14:paraId="300B357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$243,414</w:t>
            </w:r>
          </w:p>
        </w:tc>
      </w:tr>
      <w:tr w:rsidR="0056495C" w:rsidRPr="009C73F8" w14:paraId="661B37B2" w14:textId="77777777" w:rsidTr="008D49A8">
        <w:trPr>
          <w:cantSplit/>
        </w:trPr>
        <w:tc>
          <w:tcPr>
            <w:tcW w:w="2197" w:type="dxa"/>
          </w:tcPr>
          <w:p w14:paraId="1A511C20"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9</w:t>
            </w:r>
          </w:p>
          <w:p w14:paraId="34B0C46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Opposition Spokesperson</w:t>
            </w:r>
          </w:p>
          <w:p w14:paraId="7C6C6A6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Leader of a Recognised Political Party</w:t>
            </w:r>
          </w:p>
          <w:p w14:paraId="663AE55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Chairperson of a Committee (including a select committee)</w:t>
            </w:r>
          </w:p>
        </w:tc>
        <w:tc>
          <w:tcPr>
            <w:tcW w:w="1417" w:type="dxa"/>
          </w:tcPr>
          <w:p w14:paraId="7C7CC7B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5A06AF8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$60,208</w:t>
            </w:r>
          </w:p>
        </w:tc>
        <w:tc>
          <w:tcPr>
            <w:tcW w:w="1712" w:type="dxa"/>
          </w:tcPr>
          <w:p w14:paraId="4D88347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25%</w:t>
            </w:r>
          </w:p>
        </w:tc>
        <w:tc>
          <w:tcPr>
            <w:tcW w:w="1843" w:type="dxa"/>
          </w:tcPr>
          <w:p w14:paraId="7D52A1E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$219,330</w:t>
            </w:r>
          </w:p>
        </w:tc>
      </w:tr>
      <w:tr w:rsidR="0056495C" w:rsidRPr="009C73F8" w14:paraId="1767F79D" w14:textId="77777777" w:rsidTr="008D49A8">
        <w:trPr>
          <w:cantSplit/>
        </w:trPr>
        <w:tc>
          <w:tcPr>
            <w:tcW w:w="2197" w:type="dxa"/>
          </w:tcPr>
          <w:p w14:paraId="3D349AD4"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10</w:t>
            </w:r>
          </w:p>
          <w:p w14:paraId="262497D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Senior Government Whip</w:t>
            </w:r>
          </w:p>
          <w:p w14:paraId="64E1473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Opposition Whip</w:t>
            </w:r>
          </w:p>
        </w:tc>
        <w:tc>
          <w:tcPr>
            <w:tcW w:w="1417" w:type="dxa"/>
          </w:tcPr>
          <w:p w14:paraId="31756FA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01494AB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$36,125</w:t>
            </w:r>
          </w:p>
        </w:tc>
        <w:tc>
          <w:tcPr>
            <w:tcW w:w="1712" w:type="dxa"/>
          </w:tcPr>
          <w:p w14:paraId="73C4EBC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w:t>
            </w:r>
          </w:p>
        </w:tc>
        <w:tc>
          <w:tcPr>
            <w:tcW w:w="1843" w:type="dxa"/>
          </w:tcPr>
          <w:p w14:paraId="6497320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$195.247</w:t>
            </w:r>
          </w:p>
        </w:tc>
      </w:tr>
      <w:tr w:rsidR="0056495C" w:rsidRPr="009C73F8" w14:paraId="5B9DC607" w14:textId="77777777" w:rsidTr="008D49A8">
        <w:trPr>
          <w:cantSplit/>
        </w:trPr>
        <w:tc>
          <w:tcPr>
            <w:tcW w:w="2197" w:type="dxa"/>
          </w:tcPr>
          <w:p w14:paraId="0A93022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lastRenderedPageBreak/>
              <w:t>Band 11</w:t>
            </w:r>
          </w:p>
          <w:p w14:paraId="44C73E6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Government Deputy Whip</w:t>
            </w:r>
          </w:p>
          <w:p w14:paraId="2AB1EF41"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Deputy Opposition Whip</w:t>
            </w:r>
          </w:p>
        </w:tc>
        <w:tc>
          <w:tcPr>
            <w:tcW w:w="1417" w:type="dxa"/>
          </w:tcPr>
          <w:p w14:paraId="0734516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7D24A101"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$30,104</w:t>
            </w:r>
          </w:p>
        </w:tc>
        <w:tc>
          <w:tcPr>
            <w:tcW w:w="1712" w:type="dxa"/>
          </w:tcPr>
          <w:p w14:paraId="01419E7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12.5%</w:t>
            </w:r>
          </w:p>
        </w:tc>
        <w:tc>
          <w:tcPr>
            <w:tcW w:w="1843" w:type="dxa"/>
          </w:tcPr>
          <w:p w14:paraId="4D694C3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$189,226</w:t>
            </w:r>
          </w:p>
        </w:tc>
      </w:tr>
      <w:tr w:rsidR="0056495C" w:rsidRPr="009C73F8" w14:paraId="50EC2178" w14:textId="77777777" w:rsidTr="008D49A8">
        <w:trPr>
          <w:cantSplit/>
        </w:trPr>
        <w:tc>
          <w:tcPr>
            <w:tcW w:w="2197" w:type="dxa"/>
          </w:tcPr>
          <w:p w14:paraId="4EC2DD00"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12</w:t>
            </w:r>
          </w:p>
          <w:p w14:paraId="24A5166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Member of a Committee (including a select committee)</w:t>
            </w:r>
          </w:p>
        </w:tc>
        <w:tc>
          <w:tcPr>
            <w:tcW w:w="1417" w:type="dxa"/>
          </w:tcPr>
          <w:p w14:paraId="6C59393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615" w:type="dxa"/>
          </w:tcPr>
          <w:p w14:paraId="35F5F8D5"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$24,083</w:t>
            </w:r>
          </w:p>
        </w:tc>
        <w:tc>
          <w:tcPr>
            <w:tcW w:w="1712" w:type="dxa"/>
          </w:tcPr>
          <w:p w14:paraId="3857E03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10%</w:t>
            </w:r>
          </w:p>
        </w:tc>
        <w:tc>
          <w:tcPr>
            <w:tcW w:w="1843" w:type="dxa"/>
          </w:tcPr>
          <w:p w14:paraId="1E4179D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$183,205</w:t>
            </w:r>
          </w:p>
        </w:tc>
      </w:tr>
    </w:tbl>
    <w:p w14:paraId="7129C55E" w14:textId="77777777" w:rsidR="00615054" w:rsidRPr="009C73F8" w:rsidRDefault="00615054" w:rsidP="00615054">
      <w:pPr>
        <w:spacing w:before="240" w:after="200" w:line="276" w:lineRule="auto"/>
        <w:rPr>
          <w:rFonts w:ascii="Arial" w:eastAsia="Calibri" w:hAnsi="Arial" w:cs="Arial"/>
        </w:rPr>
      </w:pPr>
      <w:r w:rsidRPr="009C73F8">
        <w:rPr>
          <w:rFonts w:ascii="Arial" w:eastAsia="Calibri" w:hAnsi="Arial" w:cs="Arial"/>
        </w:rPr>
        <w:t xml:space="preserve">A summary of the salary increases for members and office holders in Queensland since the establishment of the Tribunal in 2013 is below: </w:t>
      </w:r>
    </w:p>
    <w:tbl>
      <w:tblPr>
        <w:tblStyle w:val="TableGrid"/>
        <w:tblW w:w="0" w:type="auto"/>
        <w:tblLook w:val="04A0" w:firstRow="1" w:lastRow="0" w:firstColumn="1" w:lastColumn="0" w:noHBand="0" w:noVBand="1"/>
      </w:tblPr>
      <w:tblGrid>
        <w:gridCol w:w="3005"/>
        <w:gridCol w:w="3005"/>
        <w:gridCol w:w="3006"/>
      </w:tblGrid>
      <w:tr w:rsidR="00615054" w:rsidRPr="009C73F8" w14:paraId="48C2DDC4" w14:textId="77777777" w:rsidTr="00920CB1">
        <w:tc>
          <w:tcPr>
            <w:tcW w:w="3005" w:type="dxa"/>
            <w:shd w:val="clear" w:color="auto" w:fill="8EAADB" w:themeFill="accent1" w:themeFillTint="99"/>
          </w:tcPr>
          <w:p w14:paraId="6A85A3DD"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Date</w:t>
            </w:r>
          </w:p>
        </w:tc>
        <w:tc>
          <w:tcPr>
            <w:tcW w:w="3005" w:type="dxa"/>
            <w:shd w:val="clear" w:color="auto" w:fill="8EAADB" w:themeFill="accent1" w:themeFillTint="99"/>
          </w:tcPr>
          <w:p w14:paraId="23EC4F7F"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Base Salary increase</w:t>
            </w:r>
          </w:p>
        </w:tc>
        <w:tc>
          <w:tcPr>
            <w:tcW w:w="3006" w:type="dxa"/>
            <w:shd w:val="clear" w:color="auto" w:fill="8EAADB" w:themeFill="accent1" w:themeFillTint="99"/>
          </w:tcPr>
          <w:p w14:paraId="3BB2786E"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 xml:space="preserve">Additional salary </w:t>
            </w:r>
            <w:proofErr w:type="gramStart"/>
            <w:r w:rsidRPr="009C73F8">
              <w:rPr>
                <w:rFonts w:ascii="Arial" w:eastAsia="Calibri" w:hAnsi="Arial" w:cs="Arial"/>
                <w:b/>
                <w:sz w:val="18"/>
                <w:szCs w:val="18"/>
              </w:rPr>
              <w:t>increase</w:t>
            </w:r>
            <w:proofErr w:type="gramEnd"/>
          </w:p>
        </w:tc>
      </w:tr>
      <w:tr w:rsidR="00615054" w:rsidRPr="009C73F8" w14:paraId="42D4C4F8" w14:textId="77777777" w:rsidTr="00920CB1">
        <w:tc>
          <w:tcPr>
            <w:tcW w:w="3005" w:type="dxa"/>
          </w:tcPr>
          <w:p w14:paraId="76C27ED1"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1 July 2013</w:t>
            </w:r>
          </w:p>
        </w:tc>
        <w:tc>
          <w:tcPr>
            <w:tcW w:w="3005" w:type="dxa"/>
          </w:tcPr>
          <w:p w14:paraId="1E88173B"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3.02%</w:t>
            </w:r>
          </w:p>
        </w:tc>
        <w:tc>
          <w:tcPr>
            <w:tcW w:w="3006" w:type="dxa"/>
          </w:tcPr>
          <w:p w14:paraId="65EFFD49"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3.02%</w:t>
            </w:r>
          </w:p>
        </w:tc>
      </w:tr>
      <w:tr w:rsidR="00615054" w:rsidRPr="009C73F8" w14:paraId="134A7486" w14:textId="77777777" w:rsidTr="00920CB1">
        <w:tc>
          <w:tcPr>
            <w:tcW w:w="3005" w:type="dxa"/>
          </w:tcPr>
          <w:p w14:paraId="779523B3"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1 September 2015</w:t>
            </w:r>
          </w:p>
        </w:tc>
        <w:tc>
          <w:tcPr>
            <w:tcW w:w="3005" w:type="dxa"/>
          </w:tcPr>
          <w:p w14:paraId="2F87806A"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7C563C0B"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1.5%</w:t>
            </w:r>
          </w:p>
        </w:tc>
      </w:tr>
      <w:tr w:rsidR="00615054" w:rsidRPr="009C73F8" w14:paraId="5000C441" w14:textId="77777777" w:rsidTr="00920CB1">
        <w:tc>
          <w:tcPr>
            <w:tcW w:w="3005" w:type="dxa"/>
          </w:tcPr>
          <w:p w14:paraId="2A64FC57"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1 September 2016</w:t>
            </w:r>
          </w:p>
        </w:tc>
        <w:tc>
          <w:tcPr>
            <w:tcW w:w="3005" w:type="dxa"/>
          </w:tcPr>
          <w:p w14:paraId="7F317044"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26ACD8AA"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1.5%</w:t>
            </w:r>
          </w:p>
        </w:tc>
      </w:tr>
      <w:tr w:rsidR="00615054" w:rsidRPr="009C73F8" w14:paraId="50F2A372" w14:textId="77777777" w:rsidTr="00920CB1">
        <w:tc>
          <w:tcPr>
            <w:tcW w:w="3005" w:type="dxa"/>
          </w:tcPr>
          <w:p w14:paraId="4875CAED" w14:textId="77777777" w:rsidR="00615054" w:rsidRPr="009C73F8" w:rsidRDefault="00615054" w:rsidP="00920CB1">
            <w:pPr>
              <w:spacing w:after="200" w:line="276" w:lineRule="auto"/>
              <w:rPr>
                <w:rFonts w:ascii="Arial" w:eastAsia="Calibri" w:hAnsi="Arial" w:cs="Arial"/>
                <w:b/>
                <w:sz w:val="18"/>
                <w:szCs w:val="18"/>
              </w:rPr>
            </w:pPr>
            <w:r w:rsidRPr="009C73F8">
              <w:rPr>
                <w:rFonts w:ascii="Arial" w:eastAsia="Calibri" w:hAnsi="Arial" w:cs="Arial"/>
                <w:b/>
                <w:sz w:val="18"/>
                <w:szCs w:val="18"/>
              </w:rPr>
              <w:t>1 September 2017</w:t>
            </w:r>
          </w:p>
        </w:tc>
        <w:tc>
          <w:tcPr>
            <w:tcW w:w="3005" w:type="dxa"/>
          </w:tcPr>
          <w:p w14:paraId="69F6D3B7"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3D2509B8" w14:textId="77777777" w:rsidR="00615054" w:rsidRPr="009C73F8" w:rsidRDefault="00615054" w:rsidP="00920CB1">
            <w:pPr>
              <w:spacing w:after="200" w:line="276" w:lineRule="auto"/>
              <w:rPr>
                <w:rFonts w:ascii="Arial" w:eastAsia="Calibri" w:hAnsi="Arial" w:cs="Arial"/>
                <w:sz w:val="18"/>
                <w:szCs w:val="18"/>
              </w:rPr>
            </w:pPr>
            <w:r w:rsidRPr="009C73F8">
              <w:rPr>
                <w:rFonts w:ascii="Arial" w:eastAsia="Calibri" w:hAnsi="Arial" w:cs="Arial"/>
                <w:sz w:val="18"/>
                <w:szCs w:val="18"/>
              </w:rPr>
              <w:t>1.5%</w:t>
            </w:r>
          </w:p>
        </w:tc>
      </w:tr>
    </w:tbl>
    <w:p w14:paraId="077530D2" w14:textId="77777777" w:rsidR="00615054" w:rsidRPr="009C73F8" w:rsidRDefault="00615054" w:rsidP="00615054"/>
    <w:p w14:paraId="7C2E9526" w14:textId="529C8AF6" w:rsidR="007776CC" w:rsidRPr="009C73F8" w:rsidRDefault="007776CC" w:rsidP="001A48CE">
      <w:pPr>
        <w:pStyle w:val="Subtitle"/>
        <w:keepNext/>
        <w:keepLines/>
        <w:spacing w:after="160" w:line="259" w:lineRule="auto"/>
        <w:rPr>
          <w:rFonts w:ascii="Arial" w:hAnsi="Arial" w:cs="Arial"/>
          <w:sz w:val="23"/>
          <w:szCs w:val="23"/>
        </w:rPr>
      </w:pPr>
      <w:r w:rsidRPr="009C73F8">
        <w:rPr>
          <w:rFonts w:ascii="Arial" w:hAnsi="Arial" w:cs="Arial"/>
          <w:sz w:val="23"/>
          <w:szCs w:val="23"/>
        </w:rPr>
        <w:t>Background</w:t>
      </w:r>
      <w:r w:rsidR="00DE3CEE" w:rsidRPr="009C73F8">
        <w:rPr>
          <w:rFonts w:ascii="Arial" w:hAnsi="Arial" w:cs="Arial"/>
          <w:sz w:val="23"/>
          <w:szCs w:val="23"/>
        </w:rPr>
        <w:t xml:space="preserve"> to the current determination</w:t>
      </w:r>
    </w:p>
    <w:p w14:paraId="5A590E29" w14:textId="2469C479" w:rsidR="007776CC" w:rsidRPr="009C73F8" w:rsidRDefault="007776CC" w:rsidP="001A48CE">
      <w:pPr>
        <w:keepNext/>
        <w:keepLines/>
        <w:spacing w:after="200" w:line="276" w:lineRule="auto"/>
        <w:rPr>
          <w:rFonts w:ascii="Arial" w:eastAsia="Calibri" w:hAnsi="Arial" w:cs="Arial"/>
        </w:rPr>
      </w:pPr>
      <w:r w:rsidRPr="009C73F8">
        <w:rPr>
          <w:rFonts w:ascii="Arial" w:eastAsia="Calibri" w:hAnsi="Arial" w:cs="Arial"/>
        </w:rPr>
        <w:t xml:space="preserve">On 9 June 2020, the </w:t>
      </w:r>
      <w:r w:rsidRPr="009C73F8">
        <w:rPr>
          <w:rFonts w:ascii="Arial" w:eastAsia="Calibri" w:hAnsi="Arial" w:cs="Arial"/>
          <w:i/>
        </w:rPr>
        <w:t>State Government Entities Certified Agreement 2019</w:t>
      </w:r>
      <w:r w:rsidRPr="009C73F8">
        <w:rPr>
          <w:rFonts w:ascii="Arial" w:eastAsia="Calibri" w:hAnsi="Arial" w:cs="Arial"/>
        </w:rPr>
        <w:t xml:space="preserve"> (Certified Agreement) was certified by the Queensland Industrial Relations Commission (QIRC) triggering the requirement for the Tribunal to make a salary determination within 90 days after the public service salary decision was made (section 31A</w:t>
      </w:r>
      <w:r w:rsidR="00920CB1" w:rsidRPr="009C73F8">
        <w:rPr>
          <w:rFonts w:ascii="Arial" w:eastAsia="Calibri" w:hAnsi="Arial" w:cs="Arial"/>
        </w:rPr>
        <w:t xml:space="preserve"> of the Act</w:t>
      </w:r>
      <w:r w:rsidRPr="009C73F8">
        <w:rPr>
          <w:rFonts w:ascii="Arial" w:eastAsia="Calibri" w:hAnsi="Arial" w:cs="Arial"/>
        </w:rPr>
        <w:t xml:space="preserve">).   </w:t>
      </w:r>
    </w:p>
    <w:p w14:paraId="0E0F8034" w14:textId="0DB1264E" w:rsidR="007776CC" w:rsidRPr="009C73F8" w:rsidRDefault="007776CC" w:rsidP="00B85183">
      <w:pPr>
        <w:spacing w:after="200" w:line="276" w:lineRule="auto"/>
        <w:rPr>
          <w:rFonts w:ascii="Arial" w:eastAsia="Calibri" w:hAnsi="Arial" w:cs="Arial"/>
        </w:rPr>
      </w:pPr>
      <w:r w:rsidRPr="009C73F8">
        <w:rPr>
          <w:rFonts w:ascii="Arial" w:eastAsia="Calibri" w:hAnsi="Arial" w:cs="Arial"/>
        </w:rPr>
        <w:t xml:space="preserve">Part 2.1 ‘New Wage Rates’ of the Certified Agreement provides that ‘subject to more beneficial rates being applied… the minimum wage increases to apply are 2.5% per annum on the last agreement rates as contained in the State Government Entities Certified Agreement 2015 and will apply as follows: </w:t>
      </w:r>
    </w:p>
    <w:p w14:paraId="03B5FDD9" w14:textId="77777777" w:rsidR="007776CC" w:rsidRPr="009C73F8" w:rsidRDefault="007776CC" w:rsidP="00AC7BED">
      <w:pPr>
        <w:pStyle w:val="ListParagraph"/>
        <w:numPr>
          <w:ilvl w:val="0"/>
          <w:numId w:val="14"/>
        </w:numPr>
        <w:spacing w:after="200" w:line="276" w:lineRule="auto"/>
        <w:rPr>
          <w:rFonts w:ascii="Arial" w:eastAsia="Calibri" w:hAnsi="Arial" w:cs="Arial"/>
        </w:rPr>
      </w:pPr>
      <w:r w:rsidRPr="009C73F8">
        <w:rPr>
          <w:rFonts w:ascii="Arial" w:eastAsia="Calibri" w:hAnsi="Arial" w:cs="Arial"/>
        </w:rPr>
        <w:t>1 September 2019</w:t>
      </w:r>
    </w:p>
    <w:p w14:paraId="77D80EB9" w14:textId="77777777" w:rsidR="007776CC" w:rsidRPr="009C73F8" w:rsidRDefault="007776CC" w:rsidP="00AC7BED">
      <w:pPr>
        <w:pStyle w:val="ListParagraph"/>
        <w:numPr>
          <w:ilvl w:val="0"/>
          <w:numId w:val="14"/>
        </w:numPr>
        <w:spacing w:after="200" w:line="276" w:lineRule="auto"/>
        <w:rPr>
          <w:rFonts w:ascii="Arial" w:eastAsia="Calibri" w:hAnsi="Arial" w:cs="Arial"/>
        </w:rPr>
      </w:pPr>
      <w:r w:rsidRPr="009C73F8">
        <w:rPr>
          <w:rFonts w:ascii="Arial" w:eastAsia="Calibri" w:hAnsi="Arial" w:cs="Arial"/>
        </w:rPr>
        <w:t>1 September 2020</w:t>
      </w:r>
    </w:p>
    <w:p w14:paraId="36B9C572" w14:textId="77777777" w:rsidR="007776CC" w:rsidRPr="009C73F8" w:rsidRDefault="007776CC" w:rsidP="00AC7BED">
      <w:pPr>
        <w:pStyle w:val="ListParagraph"/>
        <w:numPr>
          <w:ilvl w:val="0"/>
          <w:numId w:val="14"/>
        </w:numPr>
        <w:spacing w:after="200" w:line="276" w:lineRule="auto"/>
        <w:rPr>
          <w:rFonts w:ascii="Arial" w:eastAsia="Calibri" w:hAnsi="Arial" w:cs="Arial"/>
        </w:rPr>
      </w:pPr>
      <w:r w:rsidRPr="009C73F8">
        <w:rPr>
          <w:rFonts w:ascii="Arial" w:eastAsia="Calibri" w:hAnsi="Arial" w:cs="Arial"/>
        </w:rPr>
        <w:t>1 September 2021</w:t>
      </w:r>
    </w:p>
    <w:p w14:paraId="0FD8722B" w14:textId="0E33E144" w:rsidR="007776CC" w:rsidRPr="009C73F8" w:rsidRDefault="007776CC" w:rsidP="00AC7BED">
      <w:pPr>
        <w:pStyle w:val="ListParagraph"/>
        <w:numPr>
          <w:ilvl w:val="0"/>
          <w:numId w:val="14"/>
        </w:numPr>
        <w:spacing w:after="200" w:line="276" w:lineRule="auto"/>
        <w:rPr>
          <w:rFonts w:ascii="Arial" w:eastAsia="Calibri" w:hAnsi="Arial" w:cs="Arial"/>
        </w:rPr>
      </w:pPr>
      <w:r w:rsidRPr="009C73F8">
        <w:rPr>
          <w:rFonts w:ascii="Arial" w:eastAsia="Calibri" w:hAnsi="Arial" w:cs="Arial"/>
        </w:rPr>
        <w:t>1 September 2022.</w:t>
      </w:r>
    </w:p>
    <w:p w14:paraId="783A10E9" w14:textId="7EDC337F" w:rsidR="007776CC" w:rsidRPr="009C73F8" w:rsidRDefault="00920CB1" w:rsidP="00D94CFB">
      <w:pPr>
        <w:spacing w:after="200" w:line="276" w:lineRule="auto"/>
        <w:rPr>
          <w:rFonts w:ascii="Arial" w:eastAsia="Calibri" w:hAnsi="Arial" w:cs="Arial"/>
        </w:rPr>
      </w:pPr>
      <w:r w:rsidRPr="009C73F8">
        <w:rPr>
          <w:rFonts w:ascii="Arial" w:eastAsia="Calibri" w:hAnsi="Arial" w:cs="Arial"/>
        </w:rPr>
        <w:t>Section 31A of the</w:t>
      </w:r>
      <w:r w:rsidR="007776CC" w:rsidRPr="009C73F8">
        <w:rPr>
          <w:rFonts w:ascii="Arial" w:eastAsia="Calibri" w:hAnsi="Arial" w:cs="Arial"/>
        </w:rPr>
        <w:t xml:space="preserve"> Act provides </w:t>
      </w:r>
      <w:r w:rsidR="00D94CFB" w:rsidRPr="009C73F8">
        <w:rPr>
          <w:rFonts w:ascii="Arial" w:eastAsia="Calibri" w:hAnsi="Arial" w:cs="Arial"/>
        </w:rPr>
        <w:t>that if the determination increases a member’s salary entitlement, the determination must provide for the increase to take effect, or to have taken effect, on the same day the increase to the salary of a departmental employee takes</w:t>
      </w:r>
      <w:r w:rsidR="002169C6" w:rsidRPr="009C73F8">
        <w:rPr>
          <w:rFonts w:ascii="Arial" w:eastAsia="Calibri" w:hAnsi="Arial" w:cs="Arial"/>
        </w:rPr>
        <w:t xml:space="preserve"> </w:t>
      </w:r>
      <w:proofErr w:type="gramStart"/>
      <w:r w:rsidR="002169C6" w:rsidRPr="009C73F8">
        <w:rPr>
          <w:rFonts w:ascii="Arial" w:eastAsia="Calibri" w:hAnsi="Arial" w:cs="Arial"/>
        </w:rPr>
        <w:t>effect</w:t>
      </w:r>
      <w:r w:rsidR="00D94CFB" w:rsidRPr="009C73F8">
        <w:rPr>
          <w:rFonts w:ascii="Arial" w:eastAsia="Calibri" w:hAnsi="Arial" w:cs="Arial"/>
        </w:rPr>
        <w:t>, or</w:t>
      </w:r>
      <w:proofErr w:type="gramEnd"/>
      <w:r w:rsidR="00D94CFB" w:rsidRPr="009C73F8">
        <w:rPr>
          <w:rFonts w:ascii="Arial" w:eastAsia="Calibri" w:hAnsi="Arial" w:cs="Arial"/>
        </w:rPr>
        <w:t xml:space="preserve"> took effect under the public service salary decision. </w:t>
      </w:r>
    </w:p>
    <w:p w14:paraId="02223FA2" w14:textId="2F4263E7" w:rsidR="006C0B1C" w:rsidRPr="009C73F8" w:rsidRDefault="006C0B1C" w:rsidP="006C0B1C">
      <w:pPr>
        <w:spacing w:after="200" w:line="276" w:lineRule="auto"/>
        <w:rPr>
          <w:rFonts w:ascii="Arial" w:eastAsia="Calibri" w:hAnsi="Arial" w:cs="Arial"/>
        </w:rPr>
      </w:pPr>
      <w:r w:rsidRPr="009C73F8">
        <w:rPr>
          <w:rFonts w:ascii="Arial" w:eastAsia="Calibri" w:hAnsi="Arial" w:cs="Arial"/>
        </w:rPr>
        <w:t>Accordingly</w:t>
      </w:r>
      <w:r w:rsidR="00F5683F" w:rsidRPr="009C73F8">
        <w:rPr>
          <w:rFonts w:ascii="Arial" w:eastAsia="Calibri" w:hAnsi="Arial" w:cs="Arial"/>
        </w:rPr>
        <w:t>,</w:t>
      </w:r>
      <w:r w:rsidR="00920CB1" w:rsidRPr="009C73F8">
        <w:rPr>
          <w:rFonts w:ascii="Arial" w:eastAsia="Calibri" w:hAnsi="Arial" w:cs="Arial"/>
        </w:rPr>
        <w:t xml:space="preserve"> in making its determination</w:t>
      </w:r>
      <w:r w:rsidRPr="009C73F8">
        <w:rPr>
          <w:rFonts w:ascii="Arial" w:eastAsia="Calibri" w:hAnsi="Arial" w:cs="Arial"/>
        </w:rPr>
        <w:t xml:space="preserve"> the Tribunal </w:t>
      </w:r>
      <w:r w:rsidR="00920CB1" w:rsidRPr="009C73F8">
        <w:rPr>
          <w:rFonts w:ascii="Arial" w:eastAsia="Calibri" w:hAnsi="Arial" w:cs="Arial"/>
        </w:rPr>
        <w:t>considered</w:t>
      </w:r>
      <w:r w:rsidR="006F3851" w:rsidRPr="009C73F8">
        <w:rPr>
          <w:rFonts w:ascii="Arial" w:eastAsia="Calibri" w:hAnsi="Arial" w:cs="Arial"/>
        </w:rPr>
        <w:t xml:space="preserve"> the rate of any increase to the salary levels of members </w:t>
      </w:r>
      <w:r w:rsidR="00530E8E" w:rsidRPr="009C73F8">
        <w:rPr>
          <w:rFonts w:ascii="Arial" w:eastAsia="Calibri" w:hAnsi="Arial" w:cs="Arial"/>
        </w:rPr>
        <w:t>for each of the dates in the Certified Agreement</w:t>
      </w:r>
      <w:r w:rsidR="002169C6" w:rsidRPr="009C73F8">
        <w:rPr>
          <w:rFonts w:ascii="Arial" w:eastAsia="Calibri" w:hAnsi="Arial" w:cs="Arial"/>
        </w:rPr>
        <w:t xml:space="preserve">, </w:t>
      </w:r>
      <w:proofErr w:type="gramStart"/>
      <w:r w:rsidR="00F5683F" w:rsidRPr="009C73F8">
        <w:rPr>
          <w:rFonts w:ascii="Arial" w:eastAsia="Calibri" w:hAnsi="Arial" w:cs="Arial"/>
        </w:rPr>
        <w:t>taking into account</w:t>
      </w:r>
      <w:proofErr w:type="gramEnd"/>
      <w:r w:rsidR="00F5683F" w:rsidRPr="009C73F8">
        <w:rPr>
          <w:rFonts w:ascii="Arial" w:eastAsia="Calibri" w:hAnsi="Arial" w:cs="Arial"/>
        </w:rPr>
        <w:t xml:space="preserve"> relevant benchmarks and factors to inform its decision. </w:t>
      </w:r>
    </w:p>
    <w:p w14:paraId="536F2585" w14:textId="79C27EF6" w:rsidR="007776CC" w:rsidRPr="009C73F8" w:rsidRDefault="007776CC" w:rsidP="00D94CFB">
      <w:pPr>
        <w:pStyle w:val="Subtitle"/>
        <w:keepNext/>
        <w:keepLines/>
        <w:numPr>
          <w:ilvl w:val="0"/>
          <w:numId w:val="0"/>
        </w:numPr>
        <w:spacing w:after="160" w:line="259" w:lineRule="auto"/>
        <w:rPr>
          <w:rFonts w:ascii="Arial" w:hAnsi="Arial" w:cs="Arial"/>
          <w:sz w:val="23"/>
          <w:szCs w:val="23"/>
        </w:rPr>
      </w:pPr>
      <w:r w:rsidRPr="009C73F8">
        <w:rPr>
          <w:rFonts w:ascii="Arial" w:hAnsi="Arial" w:cs="Arial"/>
          <w:sz w:val="23"/>
          <w:szCs w:val="23"/>
        </w:rPr>
        <w:lastRenderedPageBreak/>
        <w:t>Public Service Salary considerations</w:t>
      </w:r>
    </w:p>
    <w:p w14:paraId="7DDC44CD" w14:textId="4BC2C0F9" w:rsidR="00DE3CEE" w:rsidRPr="009C73F8" w:rsidRDefault="00DE3CEE" w:rsidP="00D94CFB">
      <w:pPr>
        <w:keepNext/>
        <w:keepLines/>
        <w:spacing w:after="200" w:line="276" w:lineRule="auto"/>
        <w:rPr>
          <w:rFonts w:ascii="Arial" w:eastAsia="Calibri" w:hAnsi="Arial" w:cs="Arial"/>
        </w:rPr>
      </w:pPr>
      <w:r w:rsidRPr="009C73F8">
        <w:rPr>
          <w:rFonts w:ascii="Arial" w:eastAsia="Calibri" w:hAnsi="Arial" w:cs="Arial"/>
        </w:rPr>
        <w:t>There are a</w:t>
      </w:r>
      <w:r w:rsidR="000E3AF9" w:rsidRPr="009C73F8">
        <w:rPr>
          <w:rFonts w:ascii="Arial" w:eastAsia="Calibri" w:hAnsi="Arial" w:cs="Arial"/>
        </w:rPr>
        <w:t xml:space="preserve"> range of public service salary matters </w:t>
      </w:r>
      <w:r w:rsidRPr="009C73F8">
        <w:rPr>
          <w:rFonts w:ascii="Arial" w:eastAsia="Calibri" w:hAnsi="Arial" w:cs="Arial"/>
        </w:rPr>
        <w:t>relevant to the Tribunal’s consideration</w:t>
      </w:r>
      <w:r w:rsidR="00A93027" w:rsidRPr="009C73F8">
        <w:rPr>
          <w:rFonts w:ascii="Arial" w:eastAsia="Calibri" w:hAnsi="Arial" w:cs="Arial"/>
        </w:rPr>
        <w:t xml:space="preserve"> of any salary increase for members</w:t>
      </w:r>
      <w:r w:rsidR="004208AF" w:rsidRPr="009C73F8">
        <w:rPr>
          <w:rFonts w:ascii="Arial" w:eastAsia="Calibri" w:hAnsi="Arial" w:cs="Arial"/>
        </w:rPr>
        <w:t xml:space="preserve">. </w:t>
      </w:r>
    </w:p>
    <w:p w14:paraId="289F12C5" w14:textId="3507BD07" w:rsidR="00326BB1" w:rsidRPr="007706F5" w:rsidRDefault="001262F8" w:rsidP="00B85183">
      <w:pPr>
        <w:spacing w:after="200" w:line="276" w:lineRule="auto"/>
        <w:rPr>
          <w:rFonts w:ascii="Arial" w:eastAsia="Calibri" w:hAnsi="Arial" w:cs="Arial"/>
        </w:rPr>
      </w:pPr>
      <w:r w:rsidRPr="009C73F8">
        <w:rPr>
          <w:rFonts w:ascii="Arial" w:eastAsia="Calibri" w:hAnsi="Arial" w:cs="Arial"/>
        </w:rPr>
        <w:t xml:space="preserve">Following the certification of the </w:t>
      </w:r>
      <w:r w:rsidR="00460BD9" w:rsidRPr="009C73F8">
        <w:rPr>
          <w:rFonts w:ascii="Arial" w:eastAsia="Calibri" w:hAnsi="Arial" w:cs="Arial"/>
        </w:rPr>
        <w:t xml:space="preserve">Certified </w:t>
      </w:r>
      <w:r w:rsidRPr="009C73F8">
        <w:rPr>
          <w:rFonts w:ascii="Arial" w:eastAsia="Calibri" w:hAnsi="Arial" w:cs="Arial"/>
        </w:rPr>
        <w:t xml:space="preserve">Agreement, legislative amendments were </w:t>
      </w:r>
      <w:r w:rsidR="00D94CFB" w:rsidRPr="009C73F8">
        <w:rPr>
          <w:rFonts w:ascii="Arial" w:eastAsia="Calibri" w:hAnsi="Arial" w:cs="Arial"/>
        </w:rPr>
        <w:t xml:space="preserve">made to </w:t>
      </w:r>
      <w:r w:rsidR="00560793" w:rsidRPr="009C73F8">
        <w:rPr>
          <w:rFonts w:ascii="Arial" w:eastAsia="Calibri" w:hAnsi="Arial" w:cs="Arial"/>
        </w:rPr>
        <w:t xml:space="preserve">the </w:t>
      </w:r>
      <w:r w:rsidR="00560793" w:rsidRPr="009C73F8">
        <w:rPr>
          <w:rFonts w:ascii="Arial" w:eastAsia="Calibri" w:hAnsi="Arial" w:cs="Arial"/>
          <w:i/>
        </w:rPr>
        <w:t>Industrial Relations Act 2016</w:t>
      </w:r>
      <w:r w:rsidR="00560793" w:rsidRPr="009C73F8">
        <w:rPr>
          <w:rFonts w:ascii="Arial" w:eastAsia="Calibri" w:hAnsi="Arial" w:cs="Arial"/>
        </w:rPr>
        <w:t xml:space="preserve"> to </w:t>
      </w:r>
      <w:r w:rsidRPr="009C73F8">
        <w:rPr>
          <w:rFonts w:ascii="Arial" w:eastAsia="Calibri" w:hAnsi="Arial" w:cs="Arial"/>
        </w:rPr>
        <w:t>defer salary increases to public service employees</w:t>
      </w:r>
      <w:r w:rsidR="00560793" w:rsidRPr="009C73F8">
        <w:rPr>
          <w:rFonts w:ascii="Arial" w:eastAsia="Calibri" w:hAnsi="Arial" w:cs="Arial"/>
        </w:rPr>
        <w:t xml:space="preserve"> for 2020 and 2021</w:t>
      </w:r>
      <w:r w:rsidR="00FC475F">
        <w:rPr>
          <w:rFonts w:ascii="Arial" w:eastAsia="Calibri" w:hAnsi="Arial" w:cs="Arial"/>
        </w:rPr>
        <w:t>.</w:t>
      </w:r>
      <w:r w:rsidR="00D94CFB" w:rsidRPr="009C73F8">
        <w:rPr>
          <w:rStyle w:val="FootnoteReference"/>
          <w:rFonts w:ascii="Arial" w:eastAsia="Calibri" w:hAnsi="Arial" w:cs="Arial"/>
        </w:rPr>
        <w:footnoteReference w:id="1"/>
      </w:r>
      <w:r w:rsidR="00B33C17" w:rsidRPr="009C73F8">
        <w:rPr>
          <w:rFonts w:ascii="Arial" w:eastAsia="Calibri" w:hAnsi="Arial" w:cs="Arial"/>
        </w:rPr>
        <w:t xml:space="preserve"> </w:t>
      </w:r>
      <w:r w:rsidR="001E3787" w:rsidRPr="007706F5">
        <w:rPr>
          <w:rFonts w:ascii="Arial" w:eastAsia="Calibri" w:hAnsi="Arial" w:cs="Arial"/>
        </w:rPr>
        <w:t>The effect of the amendments is to defer the 1 September 2020 increase</w:t>
      </w:r>
      <w:r w:rsidR="000C1D65" w:rsidRPr="007706F5">
        <w:rPr>
          <w:rFonts w:ascii="Arial" w:eastAsia="Calibri" w:hAnsi="Arial" w:cs="Arial"/>
        </w:rPr>
        <w:t xml:space="preserve"> of 2.5%</w:t>
      </w:r>
      <w:r w:rsidR="001E3787" w:rsidRPr="007706F5">
        <w:rPr>
          <w:rFonts w:ascii="Arial" w:eastAsia="Calibri" w:hAnsi="Arial" w:cs="Arial"/>
        </w:rPr>
        <w:t xml:space="preserve"> by one year from the day the increase would have taken effect</w:t>
      </w:r>
      <w:r w:rsidR="009653FF" w:rsidRPr="007706F5">
        <w:rPr>
          <w:rFonts w:ascii="Arial" w:eastAsia="Calibri" w:hAnsi="Arial" w:cs="Arial"/>
        </w:rPr>
        <w:t xml:space="preserve"> </w:t>
      </w:r>
      <w:r w:rsidR="001E3787" w:rsidRPr="007706F5">
        <w:rPr>
          <w:rFonts w:ascii="Arial" w:eastAsia="Calibri" w:hAnsi="Arial" w:cs="Arial"/>
        </w:rPr>
        <w:t>and defer the 1 September 2021 wage increase</w:t>
      </w:r>
      <w:r w:rsidR="000C1D65" w:rsidRPr="007706F5">
        <w:rPr>
          <w:rFonts w:ascii="Arial" w:eastAsia="Calibri" w:hAnsi="Arial" w:cs="Arial"/>
        </w:rPr>
        <w:t xml:space="preserve"> of 2.5%</w:t>
      </w:r>
      <w:r w:rsidR="001E3787" w:rsidRPr="007706F5">
        <w:rPr>
          <w:rFonts w:ascii="Arial" w:eastAsia="Calibri" w:hAnsi="Arial" w:cs="Arial"/>
        </w:rPr>
        <w:t xml:space="preserve"> by six months from the day the wage increase would have taken effect. </w:t>
      </w:r>
    </w:p>
    <w:p w14:paraId="5312033E" w14:textId="3E6E4D7A" w:rsidR="008B4FEF" w:rsidRPr="007706F5" w:rsidRDefault="009653FF" w:rsidP="00B85183">
      <w:pPr>
        <w:spacing w:after="200" w:line="276" w:lineRule="auto"/>
        <w:rPr>
          <w:rFonts w:ascii="Arial" w:eastAsia="Calibri" w:hAnsi="Arial" w:cs="Arial"/>
        </w:rPr>
      </w:pPr>
      <w:r w:rsidRPr="007706F5">
        <w:rPr>
          <w:rFonts w:ascii="Arial" w:eastAsia="Calibri" w:hAnsi="Arial" w:cs="Arial"/>
        </w:rPr>
        <w:t>Consistent with these amendments, the Premier wrote to the Tribunal requesting that any salary increase for members be put on hold for the duration of the COVID-19 pandemic.</w:t>
      </w:r>
      <w:r w:rsidR="0021485C" w:rsidRPr="007706F5">
        <w:rPr>
          <w:rFonts w:ascii="Arial" w:eastAsia="Calibri" w:hAnsi="Arial" w:cs="Arial"/>
        </w:rPr>
        <w:t xml:space="preserve"> </w:t>
      </w:r>
      <w:r w:rsidR="008B4FEF" w:rsidRPr="007706F5">
        <w:rPr>
          <w:rFonts w:ascii="Arial" w:eastAsia="Calibri" w:hAnsi="Arial" w:cs="Arial"/>
        </w:rPr>
        <w:t>During the parliamentary debate on the amendments, t</w:t>
      </w:r>
      <w:r w:rsidR="0021485C" w:rsidRPr="007706F5">
        <w:rPr>
          <w:rFonts w:ascii="Arial" w:eastAsia="Calibri" w:hAnsi="Arial" w:cs="Arial"/>
        </w:rPr>
        <w:t xml:space="preserve">he Opposition </w:t>
      </w:r>
      <w:r w:rsidR="008B4FEF" w:rsidRPr="007706F5">
        <w:rPr>
          <w:rFonts w:ascii="Arial" w:eastAsia="Calibri" w:hAnsi="Arial" w:cs="Arial"/>
        </w:rPr>
        <w:t>stated that the salary of members should be frozen.</w:t>
      </w:r>
    </w:p>
    <w:p w14:paraId="4D32CCD4" w14:textId="29053962" w:rsidR="00435D2B" w:rsidRPr="007706F5" w:rsidRDefault="00435D2B" w:rsidP="00B85183">
      <w:pPr>
        <w:spacing w:after="200" w:line="276" w:lineRule="auto"/>
        <w:rPr>
          <w:rFonts w:ascii="Arial" w:eastAsia="Calibri" w:hAnsi="Arial" w:cs="Arial"/>
        </w:rPr>
      </w:pPr>
      <w:r w:rsidRPr="007706F5">
        <w:rPr>
          <w:rFonts w:ascii="Arial" w:eastAsia="Calibri" w:hAnsi="Arial" w:cs="Arial"/>
        </w:rPr>
        <w:t xml:space="preserve">The Tribunal is also cognisant </w:t>
      </w:r>
      <w:r w:rsidR="006B1098" w:rsidRPr="007706F5">
        <w:rPr>
          <w:rFonts w:ascii="Arial" w:eastAsia="Calibri" w:hAnsi="Arial" w:cs="Arial"/>
        </w:rPr>
        <w:t xml:space="preserve">of the </w:t>
      </w:r>
      <w:r w:rsidRPr="007706F5">
        <w:rPr>
          <w:rFonts w:ascii="Arial" w:eastAsia="Calibri" w:hAnsi="Arial" w:cs="Arial"/>
        </w:rPr>
        <w:t>Queensland Industrial Relations Commission</w:t>
      </w:r>
      <w:r w:rsidR="006B1098" w:rsidRPr="007706F5">
        <w:rPr>
          <w:rFonts w:ascii="Arial" w:eastAsia="Calibri" w:hAnsi="Arial" w:cs="Arial"/>
        </w:rPr>
        <w:t xml:space="preserve">’s decisions in the </w:t>
      </w:r>
      <w:r w:rsidRPr="007706F5">
        <w:rPr>
          <w:rFonts w:ascii="Arial" w:eastAsia="Calibri" w:hAnsi="Arial" w:cs="Arial"/>
        </w:rPr>
        <w:t xml:space="preserve">State Wage Cases </w:t>
      </w:r>
      <w:r w:rsidR="006B1098" w:rsidRPr="007706F5">
        <w:rPr>
          <w:rFonts w:ascii="Arial" w:eastAsia="Calibri" w:hAnsi="Arial" w:cs="Arial"/>
        </w:rPr>
        <w:t>to amend</w:t>
      </w:r>
      <w:r w:rsidR="00793589" w:rsidRPr="007706F5">
        <w:rPr>
          <w:rFonts w:ascii="Arial" w:eastAsia="Calibri" w:hAnsi="Arial" w:cs="Arial"/>
        </w:rPr>
        <w:t xml:space="preserve"> </w:t>
      </w:r>
      <w:r w:rsidR="00A036FC" w:rsidRPr="007706F5">
        <w:rPr>
          <w:rFonts w:ascii="Arial" w:eastAsia="Calibri" w:hAnsi="Arial" w:cs="Arial"/>
        </w:rPr>
        <w:t xml:space="preserve">modern awards </w:t>
      </w:r>
      <w:r w:rsidR="00793589" w:rsidRPr="007706F5">
        <w:rPr>
          <w:rFonts w:ascii="Arial" w:eastAsia="Calibri" w:hAnsi="Arial" w:cs="Arial"/>
        </w:rPr>
        <w:t xml:space="preserve">for the wages or salaries for full-time adult </w:t>
      </w:r>
      <w:r w:rsidR="00793589" w:rsidRPr="00EB58B1">
        <w:rPr>
          <w:rFonts w:ascii="Arial" w:eastAsia="Calibri" w:hAnsi="Arial" w:cs="Arial"/>
        </w:rPr>
        <w:t>employees in all modern awards</w:t>
      </w:r>
      <w:r w:rsidR="006B558E" w:rsidRPr="00EB58B1">
        <w:rPr>
          <w:rFonts w:ascii="Arial" w:eastAsia="Calibri" w:hAnsi="Arial" w:cs="Arial"/>
        </w:rPr>
        <w:t>, including public service employees</w:t>
      </w:r>
      <w:r w:rsidR="00793589" w:rsidRPr="007706F5">
        <w:rPr>
          <w:rFonts w:ascii="Arial" w:eastAsia="Calibri" w:hAnsi="Arial" w:cs="Arial"/>
        </w:rPr>
        <w:t xml:space="preserve"> to provide for a 3.5% </w:t>
      </w:r>
      <w:r w:rsidR="00793589" w:rsidRPr="00190A36">
        <w:rPr>
          <w:rFonts w:ascii="Arial" w:eastAsia="Calibri" w:hAnsi="Arial" w:cs="Arial"/>
        </w:rPr>
        <w:t xml:space="preserve">increase from 1 September 2018 and a 3% increase from 1 September 2019. </w:t>
      </w:r>
      <w:r w:rsidR="00115FE9" w:rsidRPr="00190A36">
        <w:rPr>
          <w:rFonts w:ascii="Arial" w:eastAsia="Calibri" w:hAnsi="Arial" w:cs="Arial"/>
        </w:rPr>
        <w:t xml:space="preserve">The </w:t>
      </w:r>
      <w:r w:rsidR="00B33C17" w:rsidRPr="00190A36">
        <w:rPr>
          <w:rFonts w:ascii="Arial" w:eastAsia="Calibri" w:hAnsi="Arial" w:cs="Arial"/>
        </w:rPr>
        <w:t>Tribunal notes therefore, that the last salary increase for public service employees was effective from 1 September 2019.</w:t>
      </w:r>
    </w:p>
    <w:p w14:paraId="23785DD1" w14:textId="5A76E992" w:rsidR="000A14F0" w:rsidRPr="007706F5" w:rsidRDefault="003F42D7" w:rsidP="00B85183">
      <w:pPr>
        <w:spacing w:after="200" w:line="276" w:lineRule="auto"/>
        <w:rPr>
          <w:rFonts w:ascii="Arial" w:hAnsi="Arial" w:cs="Arial"/>
        </w:rPr>
      </w:pPr>
      <w:r w:rsidRPr="007706F5">
        <w:rPr>
          <w:rFonts w:ascii="Arial" w:eastAsia="Calibri" w:hAnsi="Arial" w:cs="Arial"/>
        </w:rPr>
        <w:t xml:space="preserve">The Fair Work Commission recently released its </w:t>
      </w:r>
      <w:r w:rsidRPr="007706F5">
        <w:rPr>
          <w:rFonts w:ascii="Arial" w:eastAsia="Calibri" w:hAnsi="Arial" w:cs="Arial"/>
          <w:i/>
        </w:rPr>
        <w:t>Annual Wage Review 2019-20 Decision</w:t>
      </w:r>
      <w:r w:rsidR="00191ED4" w:rsidRPr="007706F5">
        <w:rPr>
          <w:rFonts w:ascii="Arial" w:eastAsia="Calibri" w:hAnsi="Arial" w:cs="Arial"/>
          <w:i/>
        </w:rPr>
        <w:t>,</w:t>
      </w:r>
      <w:r w:rsidRPr="007706F5">
        <w:rPr>
          <w:rFonts w:ascii="Arial" w:eastAsia="Calibri" w:hAnsi="Arial" w:cs="Arial"/>
        </w:rPr>
        <w:t xml:space="preserve"> which </w:t>
      </w:r>
      <w:r w:rsidR="00117C67" w:rsidRPr="007706F5">
        <w:rPr>
          <w:rFonts w:ascii="Arial" w:eastAsia="Calibri" w:hAnsi="Arial" w:cs="Arial"/>
        </w:rPr>
        <w:t xml:space="preserve">sets the modern award minimum wages. The Commission increased minimum wages by </w:t>
      </w:r>
      <w:r w:rsidR="00FF6232" w:rsidRPr="007706F5">
        <w:rPr>
          <w:rFonts w:ascii="Arial" w:eastAsia="Calibri" w:hAnsi="Arial" w:cs="Arial"/>
        </w:rPr>
        <w:t>1.75%, noting th</w:t>
      </w:r>
      <w:r w:rsidR="00117C67" w:rsidRPr="007706F5">
        <w:rPr>
          <w:rFonts w:ascii="Arial" w:eastAsia="Calibri" w:hAnsi="Arial" w:cs="Arial"/>
        </w:rPr>
        <w:t>at the review was occurring during a global pandemic</w:t>
      </w:r>
      <w:r w:rsidR="000353D2" w:rsidRPr="007706F5">
        <w:rPr>
          <w:rFonts w:ascii="Arial" w:eastAsia="Calibri" w:hAnsi="Arial" w:cs="Arial"/>
        </w:rPr>
        <w:t xml:space="preserve"> and that the resulting changes to</w:t>
      </w:r>
      <w:r w:rsidR="000353D2" w:rsidRPr="007706F5">
        <w:rPr>
          <w:rFonts w:ascii="Arial" w:hAnsi="Arial" w:cs="Arial"/>
        </w:rPr>
        <w:t xml:space="preserve"> how work and society is </w:t>
      </w:r>
      <w:r w:rsidR="000353D2" w:rsidRPr="007706F5">
        <w:rPr>
          <w:rFonts w:ascii="Arial" w:eastAsia="Calibri" w:hAnsi="Arial" w:cs="Arial"/>
        </w:rPr>
        <w:t>conducted</w:t>
      </w:r>
      <w:r w:rsidR="000353D2" w:rsidRPr="007706F5">
        <w:rPr>
          <w:rFonts w:ascii="Arial" w:hAnsi="Arial" w:cs="Arial"/>
        </w:rPr>
        <w:t xml:space="preserve"> ha</w:t>
      </w:r>
      <w:r w:rsidR="000C1D65" w:rsidRPr="007706F5">
        <w:rPr>
          <w:rFonts w:ascii="Arial" w:hAnsi="Arial" w:cs="Arial"/>
        </w:rPr>
        <w:t>ve</w:t>
      </w:r>
      <w:r w:rsidR="000353D2" w:rsidRPr="007706F5">
        <w:rPr>
          <w:rFonts w:ascii="Arial" w:hAnsi="Arial" w:cs="Arial"/>
        </w:rPr>
        <w:t xml:space="preserve"> resulted in </w:t>
      </w:r>
      <w:r w:rsidR="00A638F2" w:rsidRPr="007706F5">
        <w:rPr>
          <w:rFonts w:ascii="Arial" w:hAnsi="Arial" w:cs="Arial"/>
        </w:rPr>
        <w:t>‘</w:t>
      </w:r>
      <w:r w:rsidR="000353D2" w:rsidRPr="007706F5">
        <w:rPr>
          <w:rFonts w:ascii="Arial" w:hAnsi="Arial" w:cs="Arial"/>
        </w:rPr>
        <w:t>substantial economic consequences</w:t>
      </w:r>
      <w:r w:rsidR="00A638F2" w:rsidRPr="007706F5">
        <w:rPr>
          <w:rFonts w:ascii="Arial" w:hAnsi="Arial" w:cs="Arial"/>
        </w:rPr>
        <w:t>’</w:t>
      </w:r>
      <w:r w:rsidR="000353D2" w:rsidRPr="007706F5">
        <w:rPr>
          <w:rFonts w:ascii="Arial" w:hAnsi="Arial" w:cs="Arial"/>
        </w:rPr>
        <w:t>.</w:t>
      </w:r>
      <w:r w:rsidR="000353D2" w:rsidRPr="007706F5">
        <w:rPr>
          <w:rStyle w:val="FootnoteReference"/>
          <w:rFonts w:ascii="Arial" w:hAnsi="Arial" w:cs="Arial"/>
        </w:rPr>
        <w:footnoteReference w:id="2"/>
      </w:r>
      <w:r w:rsidR="000353D2" w:rsidRPr="007706F5">
        <w:rPr>
          <w:rFonts w:ascii="Arial" w:hAnsi="Arial" w:cs="Arial"/>
        </w:rPr>
        <w:t xml:space="preserve"> </w:t>
      </w:r>
      <w:r w:rsidR="00594A7C" w:rsidRPr="007706F5">
        <w:rPr>
          <w:rFonts w:ascii="Arial" w:hAnsi="Arial" w:cs="Arial"/>
        </w:rPr>
        <w:t>The Commission also noted th</w:t>
      </w:r>
      <w:r w:rsidR="00B045F0" w:rsidRPr="007706F5">
        <w:rPr>
          <w:rFonts w:ascii="Arial" w:hAnsi="Arial" w:cs="Arial"/>
        </w:rPr>
        <w:t xml:space="preserve">at unemployment </w:t>
      </w:r>
      <w:r w:rsidR="00A83103" w:rsidRPr="007706F5">
        <w:rPr>
          <w:rFonts w:ascii="Arial" w:hAnsi="Arial" w:cs="Arial"/>
        </w:rPr>
        <w:t xml:space="preserve">and underemployment </w:t>
      </w:r>
      <w:r w:rsidR="00B045F0" w:rsidRPr="007706F5">
        <w:rPr>
          <w:rFonts w:ascii="Arial" w:hAnsi="Arial" w:cs="Arial"/>
        </w:rPr>
        <w:t>ha</w:t>
      </w:r>
      <w:r w:rsidR="00A83103" w:rsidRPr="007706F5">
        <w:rPr>
          <w:rFonts w:ascii="Arial" w:hAnsi="Arial" w:cs="Arial"/>
        </w:rPr>
        <w:t>ve</w:t>
      </w:r>
      <w:r w:rsidR="00B045F0" w:rsidRPr="007706F5">
        <w:rPr>
          <w:rFonts w:ascii="Arial" w:hAnsi="Arial" w:cs="Arial"/>
        </w:rPr>
        <w:t xml:space="preserve"> increased</w:t>
      </w:r>
      <w:r w:rsidR="00A83103" w:rsidRPr="007706F5">
        <w:rPr>
          <w:rFonts w:ascii="Arial" w:hAnsi="Arial" w:cs="Arial"/>
        </w:rPr>
        <w:t xml:space="preserve"> </w:t>
      </w:r>
      <w:r w:rsidR="00B045F0" w:rsidRPr="007706F5">
        <w:rPr>
          <w:rFonts w:ascii="Arial" w:hAnsi="Arial" w:cs="Arial"/>
        </w:rPr>
        <w:t>and wages growth has declined.</w:t>
      </w:r>
      <w:r w:rsidR="00F675F8" w:rsidRPr="007706F5">
        <w:rPr>
          <w:rStyle w:val="FootnoteReference"/>
          <w:rFonts w:ascii="Arial" w:hAnsi="Arial" w:cs="Arial"/>
        </w:rPr>
        <w:footnoteReference w:id="3"/>
      </w:r>
      <w:r w:rsidR="00F675F8" w:rsidRPr="007706F5">
        <w:rPr>
          <w:rFonts w:ascii="Arial" w:hAnsi="Arial" w:cs="Arial"/>
        </w:rPr>
        <w:t xml:space="preserve"> In deciding to provide an increase the Commission noted that granting no increase would have reduced the living standards of low-paid award-reliant employees and impact gender pay equity.</w:t>
      </w:r>
      <w:r w:rsidR="00055AA9" w:rsidRPr="007706F5">
        <w:rPr>
          <w:rStyle w:val="FootnoteReference"/>
          <w:rFonts w:ascii="Arial" w:hAnsi="Arial" w:cs="Arial"/>
        </w:rPr>
        <w:footnoteReference w:id="4"/>
      </w:r>
      <w:r w:rsidR="00F675F8" w:rsidRPr="007706F5">
        <w:rPr>
          <w:rFonts w:ascii="Arial" w:hAnsi="Arial" w:cs="Arial"/>
        </w:rPr>
        <w:t xml:space="preserve"> </w:t>
      </w:r>
    </w:p>
    <w:p w14:paraId="5C580694" w14:textId="3D70C163" w:rsidR="00DE3CEE" w:rsidRPr="007706F5" w:rsidRDefault="00E47509" w:rsidP="00B85183">
      <w:pPr>
        <w:spacing w:after="200" w:line="276" w:lineRule="auto"/>
        <w:rPr>
          <w:rFonts w:ascii="Arial" w:eastAsia="Calibri" w:hAnsi="Arial" w:cs="Arial"/>
        </w:rPr>
      </w:pPr>
      <w:r w:rsidRPr="00EB58B1">
        <w:rPr>
          <w:rFonts w:ascii="Arial" w:eastAsia="Calibri" w:hAnsi="Arial" w:cs="Arial"/>
        </w:rPr>
        <w:t xml:space="preserve">The Tribunal </w:t>
      </w:r>
      <w:r w:rsidR="005917AD" w:rsidRPr="00EB58B1">
        <w:rPr>
          <w:rFonts w:ascii="Arial" w:eastAsia="Calibri" w:hAnsi="Arial" w:cs="Arial"/>
        </w:rPr>
        <w:t xml:space="preserve">notes that </w:t>
      </w:r>
      <w:r w:rsidR="000B4B16" w:rsidRPr="00EB58B1">
        <w:rPr>
          <w:rFonts w:ascii="Arial" w:eastAsia="Calibri" w:hAnsi="Arial" w:cs="Arial"/>
        </w:rPr>
        <w:t xml:space="preserve">the base salary of </w:t>
      </w:r>
      <w:r w:rsidR="005917AD" w:rsidRPr="00EB58B1">
        <w:rPr>
          <w:rFonts w:ascii="Arial" w:eastAsia="Calibri" w:hAnsi="Arial" w:cs="Arial"/>
        </w:rPr>
        <w:t xml:space="preserve">members </w:t>
      </w:r>
      <w:r w:rsidR="000B4B16" w:rsidRPr="00EB58B1">
        <w:rPr>
          <w:rFonts w:ascii="Arial" w:eastAsia="Calibri" w:hAnsi="Arial" w:cs="Arial"/>
        </w:rPr>
        <w:t>is</w:t>
      </w:r>
      <w:r w:rsidR="005917AD" w:rsidRPr="00EB58B1">
        <w:rPr>
          <w:rFonts w:ascii="Arial" w:eastAsia="Calibri" w:hAnsi="Arial" w:cs="Arial"/>
        </w:rPr>
        <w:t xml:space="preserve"> in a hig</w:t>
      </w:r>
      <w:r w:rsidR="000B4B16" w:rsidRPr="00EB58B1">
        <w:rPr>
          <w:rFonts w:ascii="Arial" w:eastAsia="Calibri" w:hAnsi="Arial" w:cs="Arial"/>
        </w:rPr>
        <w:t>h</w:t>
      </w:r>
      <w:r w:rsidR="006B558E" w:rsidRPr="00EB58B1">
        <w:rPr>
          <w:rFonts w:ascii="Arial" w:eastAsia="Calibri" w:hAnsi="Arial" w:cs="Arial"/>
        </w:rPr>
        <w:t>er</w:t>
      </w:r>
      <w:r w:rsidR="005917AD" w:rsidRPr="00EB58B1">
        <w:rPr>
          <w:rFonts w:ascii="Arial" w:eastAsia="Calibri" w:hAnsi="Arial" w:cs="Arial"/>
        </w:rPr>
        <w:t xml:space="preserve"> wages bracket </w:t>
      </w:r>
      <w:r w:rsidR="0019184C" w:rsidRPr="00EB58B1">
        <w:rPr>
          <w:rFonts w:ascii="Arial" w:eastAsia="Calibri" w:hAnsi="Arial" w:cs="Arial"/>
        </w:rPr>
        <w:t xml:space="preserve">than average salary rates </w:t>
      </w:r>
      <w:r w:rsidR="005917AD" w:rsidRPr="00EB58B1">
        <w:rPr>
          <w:rFonts w:ascii="Arial" w:eastAsia="Calibri" w:hAnsi="Arial" w:cs="Arial"/>
        </w:rPr>
        <w:t xml:space="preserve">and </w:t>
      </w:r>
      <w:r w:rsidR="00932465" w:rsidRPr="00EB58B1">
        <w:rPr>
          <w:rFonts w:ascii="Arial" w:eastAsia="Calibri" w:hAnsi="Arial" w:cs="Arial"/>
        </w:rPr>
        <w:t>that while there is a need to attract qualified members to the role</w:t>
      </w:r>
      <w:r w:rsidR="00140D75" w:rsidRPr="00EB58B1">
        <w:rPr>
          <w:rFonts w:ascii="Arial" w:eastAsia="Calibri" w:hAnsi="Arial" w:cs="Arial"/>
        </w:rPr>
        <w:t xml:space="preserve">, </w:t>
      </w:r>
      <w:r w:rsidR="000A14F0" w:rsidRPr="00EB58B1">
        <w:rPr>
          <w:rFonts w:ascii="Arial" w:eastAsia="Calibri" w:hAnsi="Arial" w:cs="Arial"/>
        </w:rPr>
        <w:t>member</w:t>
      </w:r>
      <w:r w:rsidR="00392DC2" w:rsidRPr="00EB58B1">
        <w:rPr>
          <w:rFonts w:ascii="Arial" w:eastAsia="Calibri" w:hAnsi="Arial" w:cs="Arial"/>
        </w:rPr>
        <w:t>s’</w:t>
      </w:r>
      <w:r w:rsidR="000A14F0" w:rsidRPr="00EB58B1">
        <w:rPr>
          <w:rFonts w:ascii="Arial" w:eastAsia="Calibri" w:hAnsi="Arial" w:cs="Arial"/>
        </w:rPr>
        <w:t xml:space="preserve"> </w:t>
      </w:r>
      <w:r w:rsidR="00481444" w:rsidRPr="00EB58B1">
        <w:rPr>
          <w:rFonts w:ascii="Arial" w:eastAsia="Calibri" w:hAnsi="Arial" w:cs="Arial"/>
        </w:rPr>
        <w:t xml:space="preserve">salaries </w:t>
      </w:r>
      <w:r w:rsidR="008D11E3" w:rsidRPr="00EB58B1">
        <w:rPr>
          <w:rFonts w:ascii="Arial" w:eastAsia="Calibri" w:hAnsi="Arial" w:cs="Arial"/>
        </w:rPr>
        <w:t>should also</w:t>
      </w:r>
      <w:r w:rsidR="00481444" w:rsidRPr="00EB58B1">
        <w:rPr>
          <w:rFonts w:ascii="Arial" w:eastAsia="Calibri" w:hAnsi="Arial" w:cs="Arial"/>
        </w:rPr>
        <w:t xml:space="preserve"> reflect the public service component of the role</w:t>
      </w:r>
      <w:r w:rsidR="00B26CF0" w:rsidRPr="00EB58B1">
        <w:rPr>
          <w:rFonts w:ascii="Arial" w:eastAsia="Calibri" w:hAnsi="Arial" w:cs="Arial"/>
        </w:rPr>
        <w:t xml:space="preserve"> and </w:t>
      </w:r>
      <w:r w:rsidR="0019184C" w:rsidRPr="00EB58B1">
        <w:rPr>
          <w:rFonts w:ascii="Arial" w:eastAsia="Calibri" w:hAnsi="Arial" w:cs="Arial"/>
        </w:rPr>
        <w:t xml:space="preserve">the value to the </w:t>
      </w:r>
      <w:r w:rsidR="00140D75" w:rsidRPr="00EB58B1">
        <w:rPr>
          <w:rFonts w:ascii="Arial" w:eastAsia="Calibri" w:hAnsi="Arial" w:cs="Arial"/>
        </w:rPr>
        <w:t xml:space="preserve">community </w:t>
      </w:r>
      <w:r w:rsidR="0019184C" w:rsidRPr="00EB58B1">
        <w:rPr>
          <w:rFonts w:ascii="Arial" w:eastAsia="Calibri" w:hAnsi="Arial" w:cs="Arial"/>
        </w:rPr>
        <w:t xml:space="preserve">of a member performing their role, </w:t>
      </w:r>
      <w:proofErr w:type="gramStart"/>
      <w:r w:rsidR="0019184C" w:rsidRPr="00EB58B1">
        <w:rPr>
          <w:rFonts w:ascii="Arial" w:eastAsia="Calibri" w:hAnsi="Arial" w:cs="Arial"/>
        </w:rPr>
        <w:t>functions</w:t>
      </w:r>
      <w:proofErr w:type="gramEnd"/>
      <w:r w:rsidR="0019184C" w:rsidRPr="00EB58B1">
        <w:rPr>
          <w:rFonts w:ascii="Arial" w:eastAsia="Calibri" w:hAnsi="Arial" w:cs="Arial"/>
        </w:rPr>
        <w:t xml:space="preserve"> and responsibilities</w:t>
      </w:r>
      <w:r w:rsidR="00140D75" w:rsidRPr="007706F5">
        <w:rPr>
          <w:rFonts w:ascii="Arial" w:eastAsia="Calibri" w:hAnsi="Arial" w:cs="Arial"/>
        </w:rPr>
        <w:t xml:space="preserve">. </w:t>
      </w:r>
      <w:r w:rsidR="000C1D65" w:rsidRPr="007706F5">
        <w:rPr>
          <w:rFonts w:ascii="Arial" w:eastAsia="Calibri" w:hAnsi="Arial" w:cs="Arial"/>
        </w:rPr>
        <w:t>The Tribunal</w:t>
      </w:r>
      <w:r w:rsidR="008D11E3" w:rsidRPr="007706F5">
        <w:rPr>
          <w:rFonts w:ascii="Arial" w:eastAsia="Calibri" w:hAnsi="Arial" w:cs="Arial"/>
        </w:rPr>
        <w:t xml:space="preserve"> noted th</w:t>
      </w:r>
      <w:r w:rsidR="00487DA9" w:rsidRPr="007706F5">
        <w:rPr>
          <w:rFonts w:ascii="Arial" w:eastAsia="Calibri" w:hAnsi="Arial" w:cs="Arial"/>
        </w:rPr>
        <w:t xml:space="preserve">e wage deferral for public service employees, the provisions of the Certified Agreement and </w:t>
      </w:r>
      <w:r w:rsidR="00693F77" w:rsidRPr="007706F5">
        <w:rPr>
          <w:rFonts w:ascii="Arial" w:eastAsia="Calibri" w:hAnsi="Arial" w:cs="Arial"/>
        </w:rPr>
        <w:t xml:space="preserve">the considerations of the Fair Work Commission in reaching its decision on the salary levels of members. </w:t>
      </w:r>
    </w:p>
    <w:p w14:paraId="5B2AC772" w14:textId="7F6D15DF" w:rsidR="00D4316D" w:rsidRPr="007706F5" w:rsidRDefault="00D4316D" w:rsidP="00D4316D">
      <w:pPr>
        <w:pStyle w:val="Subtitle"/>
        <w:numPr>
          <w:ilvl w:val="0"/>
          <w:numId w:val="0"/>
        </w:numPr>
        <w:spacing w:after="160" w:line="259" w:lineRule="auto"/>
        <w:rPr>
          <w:rFonts w:ascii="Arial" w:hAnsi="Arial" w:cs="Arial"/>
          <w:sz w:val="23"/>
          <w:szCs w:val="23"/>
        </w:rPr>
      </w:pPr>
      <w:r w:rsidRPr="007706F5">
        <w:rPr>
          <w:rFonts w:ascii="Arial" w:hAnsi="Arial" w:cs="Arial"/>
          <w:sz w:val="23"/>
          <w:szCs w:val="23"/>
        </w:rPr>
        <w:t>Economic considerations</w:t>
      </w:r>
    </w:p>
    <w:p w14:paraId="2177227F" w14:textId="323BD69C" w:rsidR="00091E6B" w:rsidRPr="007706F5" w:rsidRDefault="00391642" w:rsidP="000C1D65">
      <w:pPr>
        <w:spacing w:after="200" w:line="276" w:lineRule="auto"/>
        <w:rPr>
          <w:rFonts w:ascii="Arial" w:hAnsi="Arial" w:cs="Arial"/>
        </w:rPr>
      </w:pPr>
      <w:r w:rsidRPr="007706F5">
        <w:rPr>
          <w:rFonts w:ascii="Arial" w:hAnsi="Arial" w:cs="Arial"/>
        </w:rPr>
        <w:t>T</w:t>
      </w:r>
      <w:r w:rsidR="00EB32E0" w:rsidRPr="007706F5">
        <w:rPr>
          <w:rFonts w:ascii="Arial" w:hAnsi="Arial" w:cs="Arial"/>
        </w:rPr>
        <w:t xml:space="preserve">he COVID-19 pandemic </w:t>
      </w:r>
      <w:r w:rsidRPr="007706F5">
        <w:rPr>
          <w:rFonts w:ascii="Arial" w:hAnsi="Arial" w:cs="Arial"/>
        </w:rPr>
        <w:t xml:space="preserve">has had an unprecedented impact </w:t>
      </w:r>
      <w:r w:rsidR="00EB32E0" w:rsidRPr="007706F5">
        <w:rPr>
          <w:rFonts w:ascii="Arial" w:hAnsi="Arial" w:cs="Arial"/>
        </w:rPr>
        <w:t>on the economy and economic forecasts</w:t>
      </w:r>
      <w:r w:rsidR="003868E0" w:rsidRPr="007706F5">
        <w:rPr>
          <w:rFonts w:ascii="Arial" w:hAnsi="Arial" w:cs="Arial"/>
        </w:rPr>
        <w:t>. T</w:t>
      </w:r>
      <w:r w:rsidRPr="007706F5">
        <w:rPr>
          <w:rFonts w:ascii="Arial" w:hAnsi="Arial" w:cs="Arial"/>
        </w:rPr>
        <w:t xml:space="preserve">he </w:t>
      </w:r>
      <w:r w:rsidR="000953D1" w:rsidRPr="007706F5">
        <w:rPr>
          <w:rFonts w:ascii="Arial" w:hAnsi="Arial" w:cs="Arial"/>
        </w:rPr>
        <w:t>Minutes of the Monetary Policy Meeting of the Reserve Bank Board on 2</w:t>
      </w:r>
      <w:r w:rsidR="009B1999" w:rsidRPr="007706F5">
        <w:rPr>
          <w:rFonts w:ascii="Arial" w:hAnsi="Arial" w:cs="Arial"/>
        </w:rPr>
        <w:t> </w:t>
      </w:r>
      <w:r w:rsidR="000953D1" w:rsidRPr="007706F5">
        <w:rPr>
          <w:rFonts w:ascii="Arial" w:hAnsi="Arial" w:cs="Arial"/>
        </w:rPr>
        <w:t>June</w:t>
      </w:r>
      <w:r w:rsidR="009B1999" w:rsidRPr="007706F5">
        <w:rPr>
          <w:rFonts w:ascii="Arial" w:hAnsi="Arial" w:cs="Arial"/>
        </w:rPr>
        <w:t> </w:t>
      </w:r>
      <w:r w:rsidR="000953D1" w:rsidRPr="007706F5">
        <w:rPr>
          <w:rFonts w:ascii="Arial" w:hAnsi="Arial" w:cs="Arial"/>
        </w:rPr>
        <w:t>2020</w:t>
      </w:r>
      <w:r w:rsidR="009B1999" w:rsidRPr="007706F5">
        <w:rPr>
          <w:rFonts w:ascii="Arial" w:hAnsi="Arial" w:cs="Arial"/>
        </w:rPr>
        <w:t xml:space="preserve"> </w:t>
      </w:r>
      <w:r w:rsidR="005175FD" w:rsidRPr="007706F5">
        <w:rPr>
          <w:rFonts w:ascii="Arial" w:hAnsi="Arial" w:cs="Arial"/>
        </w:rPr>
        <w:t>not</w:t>
      </w:r>
      <w:r w:rsidR="003868E0" w:rsidRPr="007706F5">
        <w:rPr>
          <w:rFonts w:ascii="Arial" w:hAnsi="Arial" w:cs="Arial"/>
        </w:rPr>
        <w:t>e</w:t>
      </w:r>
      <w:r w:rsidR="005175FD" w:rsidRPr="007706F5">
        <w:rPr>
          <w:rFonts w:ascii="Arial" w:hAnsi="Arial" w:cs="Arial"/>
        </w:rPr>
        <w:t xml:space="preserve"> </w:t>
      </w:r>
      <w:r w:rsidR="00157538" w:rsidRPr="007706F5">
        <w:rPr>
          <w:rFonts w:ascii="Arial" w:hAnsi="Arial" w:cs="Arial"/>
        </w:rPr>
        <w:t>that the Australian economy is experiencing the biggest economic contraction since the 1930s</w:t>
      </w:r>
      <w:r w:rsidR="003868E0" w:rsidRPr="007706F5">
        <w:rPr>
          <w:rFonts w:ascii="Arial" w:hAnsi="Arial" w:cs="Arial"/>
        </w:rPr>
        <w:t xml:space="preserve"> </w:t>
      </w:r>
      <w:r w:rsidR="003868E0" w:rsidRPr="007706F5">
        <w:rPr>
          <w:rFonts w:ascii="Arial" w:hAnsi="Arial" w:cs="Arial"/>
        </w:rPr>
        <w:lastRenderedPageBreak/>
        <w:t xml:space="preserve">with spending contraction, significant job losses and </w:t>
      </w:r>
      <w:r w:rsidR="009B1999" w:rsidRPr="007706F5">
        <w:rPr>
          <w:rFonts w:ascii="Arial" w:hAnsi="Arial" w:cs="Arial"/>
        </w:rPr>
        <w:t>under</w:t>
      </w:r>
      <w:r w:rsidR="009B1999" w:rsidRPr="007706F5">
        <w:rPr>
          <w:rFonts w:ascii="Arial" w:hAnsi="Arial" w:cs="Arial"/>
        </w:rPr>
        <w:noBreakHyphen/>
        <w:t>employment (</w:t>
      </w:r>
      <w:r w:rsidR="003868E0" w:rsidRPr="007706F5">
        <w:rPr>
          <w:rFonts w:ascii="Arial" w:hAnsi="Arial" w:cs="Arial"/>
        </w:rPr>
        <w:t>total hours worked f</w:t>
      </w:r>
      <w:r w:rsidR="009B1999" w:rsidRPr="007706F5">
        <w:rPr>
          <w:rFonts w:ascii="Arial" w:hAnsi="Arial" w:cs="Arial"/>
        </w:rPr>
        <w:t>ell</w:t>
      </w:r>
      <w:r w:rsidR="003868E0" w:rsidRPr="007706F5">
        <w:rPr>
          <w:rFonts w:ascii="Arial" w:hAnsi="Arial" w:cs="Arial"/>
        </w:rPr>
        <w:t xml:space="preserve"> by 9</w:t>
      </w:r>
      <w:r w:rsidR="00091E6B" w:rsidRPr="007706F5">
        <w:rPr>
          <w:rFonts w:ascii="Arial" w:hAnsi="Arial" w:cs="Arial"/>
        </w:rPr>
        <w:t>% in April</w:t>
      </w:r>
      <w:r w:rsidR="009B1999" w:rsidRPr="007706F5">
        <w:rPr>
          <w:rFonts w:ascii="Arial" w:hAnsi="Arial" w:cs="Arial"/>
        </w:rPr>
        <w:t>)</w:t>
      </w:r>
      <w:r w:rsidR="000B1F47" w:rsidRPr="007706F5">
        <w:rPr>
          <w:rFonts w:ascii="Arial" w:hAnsi="Arial" w:cs="Arial"/>
        </w:rPr>
        <w:t>.</w:t>
      </w:r>
      <w:r w:rsidR="00157538" w:rsidRPr="007706F5">
        <w:rPr>
          <w:rFonts w:ascii="Arial" w:hAnsi="Arial" w:cs="Arial"/>
          <w:vertAlign w:val="superscript"/>
        </w:rPr>
        <w:footnoteReference w:id="5"/>
      </w:r>
      <w:r w:rsidR="00BB35F3" w:rsidRPr="007706F5">
        <w:rPr>
          <w:rFonts w:ascii="Arial" w:hAnsi="Arial" w:cs="Arial"/>
          <w:vertAlign w:val="superscript"/>
        </w:rPr>
        <w:t xml:space="preserve"> </w:t>
      </w:r>
    </w:p>
    <w:p w14:paraId="6C184ED0" w14:textId="51849677" w:rsidR="00410284" w:rsidRPr="007706F5" w:rsidRDefault="00410284" w:rsidP="000C1D65">
      <w:pPr>
        <w:spacing w:after="200" w:line="276" w:lineRule="auto"/>
        <w:rPr>
          <w:rFonts w:ascii="Arial" w:hAnsi="Arial" w:cs="Arial"/>
        </w:rPr>
      </w:pPr>
      <w:r w:rsidRPr="007706F5">
        <w:rPr>
          <w:rFonts w:ascii="Arial" w:hAnsi="Arial" w:cs="Arial"/>
        </w:rPr>
        <w:t xml:space="preserve">The Tribunal has </w:t>
      </w:r>
      <w:r w:rsidR="00B33C17" w:rsidRPr="00EB58B1">
        <w:rPr>
          <w:rFonts w:ascii="Arial" w:hAnsi="Arial" w:cs="Arial"/>
        </w:rPr>
        <w:t>also</w:t>
      </w:r>
      <w:r w:rsidR="00B33C17" w:rsidRPr="007706F5">
        <w:rPr>
          <w:rFonts w:ascii="Arial" w:hAnsi="Arial" w:cs="Arial"/>
        </w:rPr>
        <w:t xml:space="preserve"> </w:t>
      </w:r>
      <w:r w:rsidRPr="007706F5">
        <w:rPr>
          <w:rFonts w:ascii="Arial" w:hAnsi="Arial" w:cs="Arial"/>
        </w:rPr>
        <w:t xml:space="preserve">considered </w:t>
      </w:r>
      <w:r w:rsidR="005D1EC0" w:rsidRPr="007706F5">
        <w:rPr>
          <w:rFonts w:ascii="Arial" w:hAnsi="Arial" w:cs="Arial"/>
        </w:rPr>
        <w:t>the following indices and their annual changes from 2000-2019</w:t>
      </w:r>
      <w:r w:rsidR="0018004F" w:rsidRPr="007706F5">
        <w:rPr>
          <w:rFonts w:ascii="Arial" w:hAnsi="Arial" w:cs="Arial"/>
        </w:rPr>
        <w:t>:</w:t>
      </w:r>
    </w:p>
    <w:p w14:paraId="399E06A0" w14:textId="77777777" w:rsidR="00BD5C12" w:rsidRPr="007706F5" w:rsidRDefault="00BD5C12" w:rsidP="00AC7BED">
      <w:pPr>
        <w:pStyle w:val="ListParagraph"/>
        <w:numPr>
          <w:ilvl w:val="0"/>
          <w:numId w:val="4"/>
        </w:numPr>
        <w:rPr>
          <w:rFonts w:ascii="Arial" w:hAnsi="Arial" w:cs="Arial"/>
        </w:rPr>
      </w:pPr>
      <w:r w:rsidRPr="007706F5">
        <w:rPr>
          <w:rFonts w:ascii="Arial" w:hAnsi="Arial" w:cs="Arial"/>
        </w:rPr>
        <w:t>the base salary of members</w:t>
      </w:r>
    </w:p>
    <w:p w14:paraId="42ACECF2" w14:textId="77777777" w:rsidR="00BD5C12" w:rsidRPr="007706F5" w:rsidRDefault="00BD5C12" w:rsidP="00AC7BED">
      <w:pPr>
        <w:pStyle w:val="ListParagraph"/>
        <w:numPr>
          <w:ilvl w:val="0"/>
          <w:numId w:val="4"/>
        </w:numPr>
        <w:rPr>
          <w:rFonts w:ascii="Arial" w:hAnsi="Arial" w:cs="Arial"/>
        </w:rPr>
      </w:pPr>
      <w:r w:rsidRPr="007706F5">
        <w:rPr>
          <w:rFonts w:ascii="Arial" w:hAnsi="Arial" w:cs="Arial"/>
        </w:rPr>
        <w:t>Average Weekly Earnings in the public and private sectors</w:t>
      </w:r>
    </w:p>
    <w:p w14:paraId="468D8BBF" w14:textId="1EEB7DDA" w:rsidR="00BD5C12" w:rsidRPr="007706F5" w:rsidRDefault="00BD5C12" w:rsidP="00AC7BED">
      <w:pPr>
        <w:pStyle w:val="ListParagraph"/>
        <w:numPr>
          <w:ilvl w:val="0"/>
          <w:numId w:val="4"/>
        </w:numPr>
        <w:rPr>
          <w:rFonts w:ascii="Arial" w:hAnsi="Arial" w:cs="Arial"/>
        </w:rPr>
      </w:pPr>
      <w:r w:rsidRPr="007706F5">
        <w:rPr>
          <w:rFonts w:ascii="Arial" w:hAnsi="Arial" w:cs="Arial"/>
        </w:rPr>
        <w:t>the Queensland core public service</w:t>
      </w:r>
    </w:p>
    <w:p w14:paraId="34B0D97A" w14:textId="3C210F5F" w:rsidR="008678A8" w:rsidRPr="007706F5" w:rsidRDefault="00BD5C12" w:rsidP="00AC7BED">
      <w:pPr>
        <w:pStyle w:val="ListParagraph"/>
        <w:numPr>
          <w:ilvl w:val="0"/>
          <w:numId w:val="4"/>
        </w:numPr>
        <w:rPr>
          <w:rFonts w:ascii="Arial" w:hAnsi="Arial" w:cs="Arial"/>
        </w:rPr>
      </w:pPr>
      <w:r w:rsidRPr="007706F5">
        <w:rPr>
          <w:rFonts w:ascii="Arial" w:hAnsi="Arial" w:cs="Arial"/>
        </w:rPr>
        <w:t>the Queensland Senior Executive Service.</w:t>
      </w:r>
      <w:r w:rsidR="00B637EC" w:rsidRPr="007706F5">
        <w:rPr>
          <w:rFonts w:ascii="Arial" w:hAnsi="Arial" w:cs="Arial"/>
        </w:rPr>
        <w:t xml:space="preserve"> </w:t>
      </w:r>
    </w:p>
    <w:p w14:paraId="7F93E459" w14:textId="77777777" w:rsidR="008678A8" w:rsidRPr="007706F5" w:rsidRDefault="008678A8">
      <w:pPr>
        <w:rPr>
          <w:rFonts w:ascii="Arial" w:hAnsi="Arial" w:cs="Arial"/>
        </w:rPr>
      </w:pPr>
    </w:p>
    <w:p w14:paraId="67AC3206" w14:textId="646B0E89" w:rsidR="008678A8" w:rsidRPr="007706F5" w:rsidRDefault="00BD5C12" w:rsidP="000C1D65">
      <w:pPr>
        <w:spacing w:after="200" w:line="276" w:lineRule="auto"/>
        <w:rPr>
          <w:rFonts w:ascii="Arial" w:hAnsi="Arial" w:cs="Arial"/>
        </w:rPr>
      </w:pPr>
      <w:r w:rsidRPr="007706F5">
        <w:rPr>
          <w:rFonts w:ascii="Arial" w:hAnsi="Arial" w:cs="Arial"/>
        </w:rPr>
        <w:t>The following</w:t>
      </w:r>
      <w:r w:rsidR="00191ED4" w:rsidRPr="007706F5">
        <w:rPr>
          <w:rFonts w:ascii="Arial" w:hAnsi="Arial" w:cs="Arial"/>
        </w:rPr>
        <w:t xml:space="preserve"> available</w:t>
      </w:r>
      <w:r w:rsidRPr="007706F5">
        <w:rPr>
          <w:rFonts w:ascii="Arial" w:hAnsi="Arial" w:cs="Arial"/>
        </w:rPr>
        <w:t xml:space="preserve"> economic indices</w:t>
      </w:r>
      <w:r w:rsidR="000C1D65" w:rsidRPr="007706F5">
        <w:rPr>
          <w:rFonts w:ascii="Arial" w:hAnsi="Arial" w:cs="Arial"/>
        </w:rPr>
        <w:t xml:space="preserve"> </w:t>
      </w:r>
      <w:r w:rsidRPr="007706F5">
        <w:rPr>
          <w:rFonts w:ascii="Arial" w:hAnsi="Arial" w:cs="Arial"/>
        </w:rPr>
        <w:t>have</w:t>
      </w:r>
      <w:r w:rsidR="00FA4609" w:rsidRPr="007706F5">
        <w:rPr>
          <w:rFonts w:ascii="Arial" w:hAnsi="Arial" w:cs="Arial"/>
        </w:rPr>
        <w:t xml:space="preserve"> also</w:t>
      </w:r>
      <w:r w:rsidRPr="007706F5">
        <w:rPr>
          <w:rFonts w:ascii="Arial" w:hAnsi="Arial" w:cs="Arial"/>
        </w:rPr>
        <w:t xml:space="preserve"> been considered: </w:t>
      </w:r>
    </w:p>
    <w:p w14:paraId="12CB271F" w14:textId="718FD3A5" w:rsidR="00BD5C12" w:rsidRPr="007706F5" w:rsidRDefault="00BD5C12" w:rsidP="00AC7BED">
      <w:pPr>
        <w:pStyle w:val="ListParagraph"/>
        <w:numPr>
          <w:ilvl w:val="0"/>
          <w:numId w:val="5"/>
        </w:numPr>
        <w:rPr>
          <w:rFonts w:ascii="Arial" w:hAnsi="Arial" w:cs="Arial"/>
        </w:rPr>
      </w:pPr>
      <w:r w:rsidRPr="007706F5">
        <w:rPr>
          <w:rFonts w:ascii="Arial" w:hAnsi="Arial" w:cs="Arial"/>
        </w:rPr>
        <w:t>the Consumer Price Index</w:t>
      </w:r>
    </w:p>
    <w:p w14:paraId="35B74E6A" w14:textId="4497BB54" w:rsidR="00BD5C12" w:rsidRPr="007706F5" w:rsidRDefault="00BD5C12" w:rsidP="00AC7BED">
      <w:pPr>
        <w:pStyle w:val="ListParagraph"/>
        <w:numPr>
          <w:ilvl w:val="0"/>
          <w:numId w:val="5"/>
        </w:numPr>
        <w:rPr>
          <w:rFonts w:ascii="Arial" w:hAnsi="Arial" w:cs="Arial"/>
        </w:rPr>
      </w:pPr>
      <w:r w:rsidRPr="007706F5">
        <w:rPr>
          <w:rFonts w:ascii="Arial" w:hAnsi="Arial" w:cs="Arial"/>
        </w:rPr>
        <w:t>the Wage Price Index</w:t>
      </w:r>
      <w:r w:rsidR="00EC3922" w:rsidRPr="007706F5">
        <w:rPr>
          <w:rFonts w:ascii="Arial" w:hAnsi="Arial" w:cs="Arial"/>
        </w:rPr>
        <w:t xml:space="preserve"> (public and private sectors)</w:t>
      </w:r>
    </w:p>
    <w:p w14:paraId="32F21361" w14:textId="7A199C3F" w:rsidR="00BD5C12" w:rsidRPr="007706F5" w:rsidRDefault="00BD5C12" w:rsidP="00AC7BED">
      <w:pPr>
        <w:pStyle w:val="ListParagraph"/>
        <w:numPr>
          <w:ilvl w:val="0"/>
          <w:numId w:val="5"/>
        </w:numPr>
        <w:rPr>
          <w:rFonts w:ascii="Arial" w:hAnsi="Arial" w:cs="Arial"/>
        </w:rPr>
      </w:pPr>
      <w:r w:rsidRPr="007706F5">
        <w:rPr>
          <w:rFonts w:ascii="Arial" w:hAnsi="Arial" w:cs="Arial"/>
        </w:rPr>
        <w:t>Queensland’s projected economic growth</w:t>
      </w:r>
    </w:p>
    <w:p w14:paraId="658B01C5" w14:textId="4E0C1F21" w:rsidR="00BD5C12" w:rsidRPr="007706F5" w:rsidRDefault="00BD5C12" w:rsidP="00AC7BED">
      <w:pPr>
        <w:pStyle w:val="ListParagraph"/>
        <w:numPr>
          <w:ilvl w:val="0"/>
          <w:numId w:val="5"/>
        </w:numPr>
        <w:rPr>
          <w:rFonts w:ascii="Arial" w:hAnsi="Arial" w:cs="Arial"/>
        </w:rPr>
      </w:pPr>
      <w:r w:rsidRPr="007706F5">
        <w:rPr>
          <w:rFonts w:ascii="Arial" w:hAnsi="Arial" w:cs="Arial"/>
        </w:rPr>
        <w:t>the Queensland Government indexation rates</w:t>
      </w:r>
      <w:r w:rsidR="00D22B10" w:rsidRPr="007706F5">
        <w:rPr>
          <w:rFonts w:ascii="Arial" w:hAnsi="Arial" w:cs="Arial"/>
        </w:rPr>
        <w:t xml:space="preserve"> for fees and charges and community funding/grants</w:t>
      </w:r>
      <w:r w:rsidRPr="007706F5">
        <w:rPr>
          <w:rFonts w:ascii="Arial" w:hAnsi="Arial" w:cs="Arial"/>
        </w:rPr>
        <w:t xml:space="preserve">. </w:t>
      </w:r>
    </w:p>
    <w:p w14:paraId="23EB789E" w14:textId="5882AD3F" w:rsidR="00762A46" w:rsidRPr="007706F5" w:rsidRDefault="00762A46" w:rsidP="00BD5C12">
      <w:pPr>
        <w:rPr>
          <w:rFonts w:ascii="Arial" w:hAnsi="Arial" w:cs="Arial"/>
        </w:rPr>
      </w:pPr>
    </w:p>
    <w:p w14:paraId="283D23CD" w14:textId="0D737142" w:rsidR="00742BB1" w:rsidRPr="007706F5" w:rsidRDefault="00326BB1" w:rsidP="00BD5C12">
      <w:pPr>
        <w:rPr>
          <w:rFonts w:ascii="Arial" w:hAnsi="Arial" w:cs="Arial"/>
        </w:rPr>
      </w:pPr>
      <w:r w:rsidRPr="00EB58B1">
        <w:rPr>
          <w:rFonts w:ascii="Arial" w:hAnsi="Arial" w:cs="Arial"/>
        </w:rPr>
        <w:t xml:space="preserve">* </w:t>
      </w:r>
      <w:r w:rsidR="00742BB1" w:rsidRPr="00EB58B1">
        <w:rPr>
          <w:rFonts w:ascii="Arial" w:hAnsi="Arial" w:cs="Arial"/>
        </w:rPr>
        <w:t>See A</w:t>
      </w:r>
      <w:r w:rsidR="00D66130" w:rsidRPr="00EB58B1">
        <w:rPr>
          <w:rFonts w:ascii="Arial" w:hAnsi="Arial" w:cs="Arial"/>
        </w:rPr>
        <w:t>ppendix</w:t>
      </w:r>
      <w:r w:rsidR="00742BB1" w:rsidRPr="00EB58B1">
        <w:rPr>
          <w:rFonts w:ascii="Arial" w:hAnsi="Arial" w:cs="Arial"/>
        </w:rPr>
        <w:t xml:space="preserve"> A for details on the economic and salary indices.</w:t>
      </w:r>
      <w:r w:rsidR="00742BB1" w:rsidRPr="007706F5">
        <w:rPr>
          <w:rFonts w:ascii="Arial" w:hAnsi="Arial" w:cs="Arial"/>
        </w:rPr>
        <w:t xml:space="preserve"> </w:t>
      </w:r>
    </w:p>
    <w:p w14:paraId="44DA582F" w14:textId="77777777" w:rsidR="00742BB1" w:rsidRPr="007706F5" w:rsidRDefault="00742BB1" w:rsidP="00BD5C12">
      <w:pPr>
        <w:rPr>
          <w:rFonts w:ascii="Arial" w:hAnsi="Arial" w:cs="Arial"/>
        </w:rPr>
      </w:pPr>
    </w:p>
    <w:p w14:paraId="73D05C01" w14:textId="2AA81887" w:rsidR="00762A46" w:rsidRPr="007706F5" w:rsidRDefault="002326F9" w:rsidP="00BD5C12">
      <w:pPr>
        <w:rPr>
          <w:rFonts w:ascii="Arial" w:hAnsi="Arial" w:cs="Arial"/>
        </w:rPr>
      </w:pPr>
      <w:r w:rsidRPr="007706F5">
        <w:rPr>
          <w:rFonts w:ascii="Arial" w:hAnsi="Arial" w:cs="Arial"/>
        </w:rPr>
        <w:t xml:space="preserve">Projected </w:t>
      </w:r>
      <w:r w:rsidR="00A4183B" w:rsidRPr="007706F5">
        <w:rPr>
          <w:rFonts w:ascii="Arial" w:hAnsi="Arial" w:cs="Arial"/>
        </w:rPr>
        <w:t xml:space="preserve">economic </w:t>
      </w:r>
      <w:r w:rsidR="006E282B" w:rsidRPr="007706F5">
        <w:rPr>
          <w:rFonts w:ascii="Arial" w:hAnsi="Arial" w:cs="Arial"/>
        </w:rPr>
        <w:t>and wage indicator growth forecasts are unavailable due to the unfolding COVID-19</w:t>
      </w:r>
      <w:r w:rsidR="00FC6FB0" w:rsidRPr="007706F5">
        <w:rPr>
          <w:rFonts w:ascii="Arial" w:hAnsi="Arial" w:cs="Arial"/>
        </w:rPr>
        <w:t xml:space="preserve"> crisis</w:t>
      </w:r>
      <w:r w:rsidR="006E282B" w:rsidRPr="007706F5">
        <w:rPr>
          <w:rFonts w:ascii="Arial" w:hAnsi="Arial" w:cs="Arial"/>
        </w:rPr>
        <w:t xml:space="preserve">. The Queensland Government Statistician has advised that previously released forecasts are not </w:t>
      </w:r>
      <w:r w:rsidR="00EE2782" w:rsidRPr="007706F5">
        <w:rPr>
          <w:rFonts w:ascii="Arial" w:hAnsi="Arial" w:cs="Arial"/>
        </w:rPr>
        <w:t>valid</w:t>
      </w:r>
      <w:r w:rsidR="00FC6FB0" w:rsidRPr="007706F5">
        <w:rPr>
          <w:rFonts w:ascii="Arial" w:hAnsi="Arial" w:cs="Arial"/>
        </w:rPr>
        <w:t>,</w:t>
      </w:r>
      <w:r w:rsidR="009F3B94" w:rsidRPr="007706F5">
        <w:rPr>
          <w:rFonts w:ascii="Arial" w:hAnsi="Arial" w:cs="Arial"/>
        </w:rPr>
        <w:t xml:space="preserve"> and forecasts will be updated in September 2020. </w:t>
      </w:r>
      <w:r w:rsidRPr="007706F5">
        <w:rPr>
          <w:rFonts w:ascii="Arial" w:hAnsi="Arial" w:cs="Arial"/>
        </w:rPr>
        <w:t xml:space="preserve"> </w:t>
      </w:r>
    </w:p>
    <w:p w14:paraId="2F81406F" w14:textId="6E34C89B" w:rsidR="00170B4C" w:rsidRPr="007706F5" w:rsidRDefault="00170B4C" w:rsidP="00BD5C12">
      <w:pPr>
        <w:rPr>
          <w:rFonts w:ascii="Arial" w:hAnsi="Arial" w:cs="Arial"/>
        </w:rPr>
      </w:pPr>
    </w:p>
    <w:p w14:paraId="53E46A7B" w14:textId="5E43D0C2" w:rsidR="00170B4C" w:rsidRPr="007706F5" w:rsidRDefault="00F20149" w:rsidP="00170B4C">
      <w:pPr>
        <w:rPr>
          <w:rFonts w:ascii="Arial" w:hAnsi="Arial" w:cs="Arial"/>
        </w:rPr>
      </w:pPr>
      <w:r w:rsidRPr="007706F5">
        <w:rPr>
          <w:rFonts w:ascii="Arial" w:hAnsi="Arial" w:cs="Arial"/>
        </w:rPr>
        <w:t>T</w:t>
      </w:r>
      <w:r w:rsidR="00170B4C" w:rsidRPr="007706F5">
        <w:rPr>
          <w:rFonts w:ascii="Arial" w:hAnsi="Arial" w:cs="Arial"/>
        </w:rPr>
        <w:t xml:space="preserve">he Tribunal has noted economic </w:t>
      </w:r>
      <w:r w:rsidR="000C1D65" w:rsidRPr="007706F5">
        <w:rPr>
          <w:rFonts w:ascii="Arial" w:hAnsi="Arial" w:cs="Arial"/>
        </w:rPr>
        <w:t xml:space="preserve">and </w:t>
      </w:r>
      <w:r w:rsidR="00170B4C" w:rsidRPr="007706F5">
        <w:rPr>
          <w:rFonts w:ascii="Arial" w:hAnsi="Arial" w:cs="Arial"/>
        </w:rPr>
        <w:t xml:space="preserve">forecast data in the context </w:t>
      </w:r>
      <w:r w:rsidR="000C1D65" w:rsidRPr="007706F5">
        <w:rPr>
          <w:rFonts w:ascii="Arial" w:hAnsi="Arial" w:cs="Arial"/>
        </w:rPr>
        <w:t xml:space="preserve">of </w:t>
      </w:r>
      <w:r w:rsidR="00170B4C" w:rsidRPr="007706F5">
        <w:rPr>
          <w:rFonts w:ascii="Arial" w:hAnsi="Arial" w:cs="Arial"/>
        </w:rPr>
        <w:t xml:space="preserve">the significant economic contraction and unemployment resulting from measures to limit the spread of COVID-19. The Tribunal is aware of the limitations of economic forecast </w:t>
      </w:r>
      <w:r w:rsidR="000C1D65" w:rsidRPr="007706F5">
        <w:rPr>
          <w:rFonts w:ascii="Arial" w:hAnsi="Arial" w:cs="Arial"/>
        </w:rPr>
        <w:t xml:space="preserve">and projection </w:t>
      </w:r>
      <w:r w:rsidR="00170B4C" w:rsidRPr="007706F5">
        <w:rPr>
          <w:rFonts w:ascii="Arial" w:hAnsi="Arial" w:cs="Arial"/>
        </w:rPr>
        <w:t>data given the current social and economic uncertainty</w:t>
      </w:r>
      <w:r w:rsidRPr="007706F5">
        <w:rPr>
          <w:rFonts w:ascii="Arial" w:hAnsi="Arial" w:cs="Arial"/>
        </w:rPr>
        <w:t xml:space="preserve">. </w:t>
      </w:r>
    </w:p>
    <w:p w14:paraId="7A00C8CF" w14:textId="77777777" w:rsidR="00170B4C" w:rsidRPr="007706F5" w:rsidRDefault="00170B4C" w:rsidP="00BD5C12">
      <w:pPr>
        <w:rPr>
          <w:rFonts w:ascii="Arial" w:hAnsi="Arial" w:cs="Arial"/>
          <w:sz w:val="23"/>
          <w:szCs w:val="23"/>
        </w:rPr>
      </w:pPr>
    </w:p>
    <w:p w14:paraId="0D3E7FA0" w14:textId="1CF1E759" w:rsidR="005347ED" w:rsidRPr="007706F5" w:rsidRDefault="005347ED" w:rsidP="00B85183">
      <w:pPr>
        <w:pStyle w:val="Subtitle"/>
        <w:keepNext/>
        <w:keepLines/>
        <w:numPr>
          <w:ilvl w:val="0"/>
          <w:numId w:val="0"/>
        </w:numPr>
        <w:spacing w:after="160" w:line="259" w:lineRule="auto"/>
        <w:rPr>
          <w:rFonts w:ascii="Arial" w:hAnsi="Arial" w:cs="Arial"/>
          <w:sz w:val="22"/>
          <w:szCs w:val="22"/>
        </w:rPr>
      </w:pPr>
      <w:r w:rsidRPr="007706F5">
        <w:rPr>
          <w:rFonts w:ascii="Arial" w:hAnsi="Arial" w:cs="Arial"/>
          <w:sz w:val="22"/>
          <w:szCs w:val="22"/>
        </w:rPr>
        <w:t>Jurisdictional considerations</w:t>
      </w:r>
    </w:p>
    <w:p w14:paraId="35DEE6F5" w14:textId="146EC6A8" w:rsidR="005347ED" w:rsidRPr="007706F5" w:rsidRDefault="00160E3A" w:rsidP="00951723">
      <w:pPr>
        <w:pStyle w:val="Subtitle"/>
        <w:spacing w:after="160" w:line="259" w:lineRule="auto"/>
        <w:rPr>
          <w:rFonts w:ascii="Arial" w:hAnsi="Arial" w:cs="Arial"/>
          <w:sz w:val="22"/>
          <w:szCs w:val="22"/>
        </w:rPr>
      </w:pPr>
      <w:r w:rsidRPr="007706F5">
        <w:rPr>
          <w:rFonts w:ascii="Arial" w:hAnsi="Arial" w:cs="Arial"/>
          <w:i w:val="0"/>
          <w:iCs w:val="0"/>
          <w:color w:val="auto"/>
          <w:spacing w:val="0"/>
          <w:sz w:val="22"/>
          <w:szCs w:val="22"/>
        </w:rPr>
        <w:t xml:space="preserve">In 2020 </w:t>
      </w:r>
      <w:r w:rsidR="00951723" w:rsidRPr="007706F5">
        <w:rPr>
          <w:rFonts w:ascii="Arial" w:hAnsi="Arial" w:cs="Arial"/>
          <w:i w:val="0"/>
          <w:iCs w:val="0"/>
          <w:color w:val="auto"/>
          <w:spacing w:val="0"/>
          <w:sz w:val="22"/>
          <w:szCs w:val="22"/>
        </w:rPr>
        <w:t>there have been no salary increases provided to members in other jurisdictions</w:t>
      </w:r>
      <w:r w:rsidR="00191ED4" w:rsidRPr="007706F5">
        <w:rPr>
          <w:rFonts w:ascii="Arial" w:hAnsi="Arial" w:cs="Arial"/>
          <w:i w:val="0"/>
          <w:iCs w:val="0"/>
          <w:color w:val="auto"/>
          <w:spacing w:val="0"/>
          <w:sz w:val="22"/>
          <w:szCs w:val="22"/>
        </w:rPr>
        <w:t>.</w:t>
      </w:r>
    </w:p>
    <w:p w14:paraId="3C1BDB13" w14:textId="74DC5D32" w:rsidR="00FD16C5" w:rsidRPr="007706F5" w:rsidRDefault="00951723" w:rsidP="00191ED4">
      <w:pPr>
        <w:pStyle w:val="Subtitle"/>
        <w:spacing w:after="160" w:line="259" w:lineRule="auto"/>
        <w:rPr>
          <w:rFonts w:ascii="Arial" w:hAnsi="Arial" w:cs="Arial"/>
          <w:i w:val="0"/>
          <w:iCs w:val="0"/>
          <w:color w:val="auto"/>
          <w:spacing w:val="0"/>
          <w:sz w:val="22"/>
          <w:szCs w:val="22"/>
        </w:rPr>
      </w:pPr>
      <w:r w:rsidRPr="007706F5">
        <w:rPr>
          <w:rFonts w:ascii="Arial" w:hAnsi="Arial" w:cs="Arial"/>
          <w:i w:val="0"/>
          <w:iCs w:val="0"/>
          <w:color w:val="auto"/>
          <w:spacing w:val="0"/>
          <w:sz w:val="22"/>
          <w:szCs w:val="22"/>
        </w:rPr>
        <w:t>Since</w:t>
      </w:r>
      <w:r w:rsidR="005A3726" w:rsidRPr="007706F5">
        <w:rPr>
          <w:rFonts w:ascii="Arial" w:hAnsi="Arial" w:cs="Arial"/>
          <w:i w:val="0"/>
          <w:iCs w:val="0"/>
          <w:color w:val="auto"/>
          <w:spacing w:val="0"/>
          <w:sz w:val="22"/>
          <w:szCs w:val="22"/>
        </w:rPr>
        <w:t xml:space="preserve"> </w:t>
      </w:r>
      <w:r w:rsidR="000825BB" w:rsidRPr="007706F5">
        <w:rPr>
          <w:rFonts w:ascii="Arial" w:hAnsi="Arial" w:cs="Arial"/>
          <w:i w:val="0"/>
          <w:iCs w:val="0"/>
          <w:color w:val="auto"/>
          <w:spacing w:val="0"/>
          <w:sz w:val="22"/>
          <w:szCs w:val="22"/>
        </w:rPr>
        <w:t>2013</w:t>
      </w:r>
      <w:r w:rsidR="00D941AE" w:rsidRPr="007706F5">
        <w:rPr>
          <w:rFonts w:ascii="Arial" w:hAnsi="Arial" w:cs="Arial"/>
          <w:i w:val="0"/>
          <w:iCs w:val="0"/>
          <w:color w:val="auto"/>
          <w:spacing w:val="0"/>
          <w:sz w:val="22"/>
          <w:szCs w:val="22"/>
        </w:rPr>
        <w:t xml:space="preserve"> when the base salary of members was set </w:t>
      </w:r>
      <w:r w:rsidR="00C4610D" w:rsidRPr="007706F5">
        <w:rPr>
          <w:rFonts w:ascii="Arial" w:hAnsi="Arial" w:cs="Arial"/>
          <w:i w:val="0"/>
          <w:iCs w:val="0"/>
          <w:color w:val="auto"/>
          <w:spacing w:val="0"/>
          <w:sz w:val="22"/>
          <w:szCs w:val="22"/>
        </w:rPr>
        <w:t>at $144,485</w:t>
      </w:r>
      <w:r w:rsidR="00D941AE" w:rsidRPr="007706F5">
        <w:rPr>
          <w:rFonts w:ascii="Arial" w:hAnsi="Arial" w:cs="Arial"/>
          <w:i w:val="0"/>
          <w:iCs w:val="0"/>
          <w:color w:val="auto"/>
          <w:spacing w:val="0"/>
          <w:sz w:val="22"/>
          <w:szCs w:val="22"/>
        </w:rPr>
        <w:t xml:space="preserve"> following </w:t>
      </w:r>
      <w:r w:rsidR="00C4610D" w:rsidRPr="007706F5">
        <w:rPr>
          <w:rFonts w:ascii="Arial" w:hAnsi="Arial" w:cs="Arial"/>
          <w:i w:val="0"/>
          <w:iCs w:val="0"/>
          <w:color w:val="auto"/>
          <w:spacing w:val="0"/>
          <w:sz w:val="22"/>
          <w:szCs w:val="22"/>
        </w:rPr>
        <w:t>a comprehensive work value assessment</w:t>
      </w:r>
      <w:r w:rsidR="00D941AE" w:rsidRPr="007706F5">
        <w:rPr>
          <w:rFonts w:ascii="Arial" w:hAnsi="Arial" w:cs="Arial"/>
          <w:i w:val="0"/>
          <w:iCs w:val="0"/>
          <w:color w:val="auto"/>
          <w:spacing w:val="0"/>
          <w:sz w:val="22"/>
          <w:szCs w:val="22"/>
        </w:rPr>
        <w:t xml:space="preserve">, </w:t>
      </w:r>
      <w:r w:rsidRPr="007706F5">
        <w:rPr>
          <w:rFonts w:ascii="Arial" w:hAnsi="Arial" w:cs="Arial"/>
          <w:i w:val="0"/>
          <w:iCs w:val="0"/>
          <w:color w:val="auto"/>
          <w:spacing w:val="0"/>
          <w:sz w:val="22"/>
          <w:szCs w:val="22"/>
        </w:rPr>
        <w:t>Queensland</w:t>
      </w:r>
      <w:r w:rsidR="000825BB" w:rsidRPr="007706F5">
        <w:rPr>
          <w:rFonts w:ascii="Arial" w:hAnsi="Arial" w:cs="Arial"/>
          <w:i w:val="0"/>
          <w:iCs w:val="0"/>
          <w:color w:val="auto"/>
          <w:spacing w:val="0"/>
          <w:sz w:val="22"/>
          <w:szCs w:val="22"/>
        </w:rPr>
        <w:t xml:space="preserve"> members’</w:t>
      </w:r>
      <w:r w:rsidRPr="007706F5">
        <w:rPr>
          <w:rFonts w:ascii="Arial" w:hAnsi="Arial" w:cs="Arial"/>
          <w:i w:val="0"/>
          <w:iCs w:val="0"/>
          <w:color w:val="auto"/>
          <w:spacing w:val="0"/>
          <w:sz w:val="22"/>
          <w:szCs w:val="22"/>
        </w:rPr>
        <w:t xml:space="preserve"> base and additional salary rates have fallen below the rates of comparable jurisdictions</w:t>
      </w:r>
      <w:r w:rsidR="000825BB" w:rsidRPr="007706F5">
        <w:rPr>
          <w:rFonts w:ascii="Arial" w:hAnsi="Arial" w:cs="Arial"/>
          <w:i w:val="0"/>
          <w:iCs w:val="0"/>
          <w:color w:val="auto"/>
          <w:spacing w:val="0"/>
          <w:sz w:val="22"/>
          <w:szCs w:val="22"/>
        </w:rPr>
        <w:t xml:space="preserve">. </w:t>
      </w:r>
      <w:r w:rsidR="00FD16C5" w:rsidRPr="007706F5">
        <w:rPr>
          <w:rFonts w:ascii="Arial" w:hAnsi="Arial" w:cs="Arial"/>
          <w:i w:val="0"/>
          <w:iCs w:val="0"/>
          <w:color w:val="auto"/>
          <w:spacing w:val="0"/>
          <w:sz w:val="22"/>
          <w:szCs w:val="22"/>
        </w:rPr>
        <w:t xml:space="preserve">A comparison of the base salaries of </w:t>
      </w:r>
      <w:r w:rsidRPr="007706F5">
        <w:rPr>
          <w:rFonts w:ascii="Arial" w:hAnsi="Arial" w:cs="Arial"/>
          <w:i w:val="0"/>
          <w:iCs w:val="0"/>
          <w:color w:val="auto"/>
          <w:spacing w:val="0"/>
          <w:sz w:val="22"/>
          <w:szCs w:val="22"/>
        </w:rPr>
        <w:t xml:space="preserve">Queensland members </w:t>
      </w:r>
      <w:r w:rsidR="00FD16C5" w:rsidRPr="007706F5">
        <w:rPr>
          <w:rFonts w:ascii="Arial" w:hAnsi="Arial" w:cs="Arial"/>
          <w:i w:val="0"/>
          <w:iCs w:val="0"/>
          <w:color w:val="auto"/>
          <w:spacing w:val="0"/>
          <w:sz w:val="22"/>
          <w:szCs w:val="22"/>
        </w:rPr>
        <w:t xml:space="preserve">and other jurisdictions is below: </w:t>
      </w:r>
    </w:p>
    <w:tbl>
      <w:tblPr>
        <w:tblStyle w:val="TableGrid"/>
        <w:tblW w:w="0" w:type="auto"/>
        <w:tblLook w:val="04A0" w:firstRow="1" w:lastRow="0" w:firstColumn="1" w:lastColumn="0" w:noHBand="0" w:noVBand="1"/>
      </w:tblPr>
      <w:tblGrid>
        <w:gridCol w:w="2263"/>
        <w:gridCol w:w="1587"/>
        <w:gridCol w:w="1926"/>
        <w:gridCol w:w="1926"/>
        <w:gridCol w:w="1926"/>
      </w:tblGrid>
      <w:tr w:rsidR="00FD16C5" w:rsidRPr="007706F5" w14:paraId="4FE1B342" w14:textId="77777777" w:rsidTr="00BD5226">
        <w:tc>
          <w:tcPr>
            <w:tcW w:w="2263" w:type="dxa"/>
            <w:shd w:val="clear" w:color="auto" w:fill="8EAADB" w:themeFill="accent1" w:themeFillTint="99"/>
            <w:vAlign w:val="center"/>
          </w:tcPr>
          <w:p w14:paraId="6D7B4E0D" w14:textId="3ED0A9FA" w:rsidR="00FD16C5" w:rsidRPr="007706F5" w:rsidRDefault="00FD16C5" w:rsidP="00BD5226">
            <w:pPr>
              <w:jc w:val="center"/>
              <w:rPr>
                <w:rFonts w:ascii="Arial" w:hAnsi="Arial" w:cs="Arial"/>
                <w:b/>
                <w:sz w:val="20"/>
                <w:szCs w:val="20"/>
              </w:rPr>
            </w:pPr>
            <w:r w:rsidRPr="007706F5">
              <w:rPr>
                <w:rFonts w:ascii="Arial" w:hAnsi="Arial" w:cs="Arial"/>
                <w:b/>
                <w:sz w:val="20"/>
                <w:szCs w:val="20"/>
              </w:rPr>
              <w:t>Jurisdiction</w:t>
            </w:r>
          </w:p>
        </w:tc>
        <w:tc>
          <w:tcPr>
            <w:tcW w:w="1587" w:type="dxa"/>
            <w:shd w:val="clear" w:color="auto" w:fill="8EAADB" w:themeFill="accent1" w:themeFillTint="99"/>
            <w:vAlign w:val="center"/>
          </w:tcPr>
          <w:p w14:paraId="2E6E37D8" w14:textId="0FB6B473" w:rsidR="00FD16C5" w:rsidRPr="007706F5" w:rsidRDefault="00FD16C5" w:rsidP="00BD5226">
            <w:pPr>
              <w:jc w:val="center"/>
              <w:rPr>
                <w:rFonts w:ascii="Arial" w:hAnsi="Arial" w:cs="Arial"/>
                <w:b/>
                <w:sz w:val="20"/>
                <w:szCs w:val="20"/>
              </w:rPr>
            </w:pPr>
            <w:r w:rsidRPr="007706F5">
              <w:rPr>
                <w:rFonts w:ascii="Arial" w:hAnsi="Arial" w:cs="Arial"/>
                <w:b/>
                <w:sz w:val="20"/>
                <w:szCs w:val="20"/>
              </w:rPr>
              <w:t>Base Salary 2013</w:t>
            </w:r>
          </w:p>
        </w:tc>
        <w:tc>
          <w:tcPr>
            <w:tcW w:w="1926" w:type="dxa"/>
            <w:shd w:val="clear" w:color="auto" w:fill="8EAADB" w:themeFill="accent1" w:themeFillTint="99"/>
            <w:vAlign w:val="center"/>
          </w:tcPr>
          <w:p w14:paraId="55611B54" w14:textId="182C3594" w:rsidR="00FD16C5" w:rsidRPr="007706F5" w:rsidRDefault="00FD16C5" w:rsidP="00BD5226">
            <w:pPr>
              <w:jc w:val="center"/>
              <w:rPr>
                <w:rFonts w:ascii="Arial" w:hAnsi="Arial" w:cs="Arial"/>
                <w:b/>
                <w:sz w:val="20"/>
                <w:szCs w:val="20"/>
              </w:rPr>
            </w:pPr>
            <w:r w:rsidRPr="007706F5">
              <w:rPr>
                <w:rFonts w:ascii="Arial" w:hAnsi="Arial" w:cs="Arial"/>
                <w:b/>
                <w:sz w:val="20"/>
                <w:szCs w:val="20"/>
              </w:rPr>
              <w:t>Base Salary 2019</w:t>
            </w:r>
          </w:p>
        </w:tc>
        <w:tc>
          <w:tcPr>
            <w:tcW w:w="1926" w:type="dxa"/>
            <w:shd w:val="clear" w:color="auto" w:fill="8EAADB" w:themeFill="accent1" w:themeFillTint="99"/>
            <w:vAlign w:val="center"/>
          </w:tcPr>
          <w:p w14:paraId="096258C2" w14:textId="5B00C275" w:rsidR="00FD16C5" w:rsidRPr="007706F5" w:rsidRDefault="00FD16C5" w:rsidP="00BD5226">
            <w:pPr>
              <w:jc w:val="center"/>
              <w:rPr>
                <w:rFonts w:ascii="Arial" w:hAnsi="Arial" w:cs="Arial"/>
                <w:b/>
                <w:sz w:val="20"/>
                <w:szCs w:val="20"/>
              </w:rPr>
            </w:pPr>
            <w:r w:rsidRPr="007706F5">
              <w:rPr>
                <w:rFonts w:ascii="Arial" w:hAnsi="Arial" w:cs="Arial"/>
                <w:b/>
                <w:sz w:val="20"/>
                <w:szCs w:val="20"/>
              </w:rPr>
              <w:t>Total % change</w:t>
            </w:r>
          </w:p>
        </w:tc>
        <w:tc>
          <w:tcPr>
            <w:tcW w:w="1926" w:type="dxa"/>
            <w:shd w:val="clear" w:color="auto" w:fill="8EAADB" w:themeFill="accent1" w:themeFillTint="99"/>
            <w:vAlign w:val="center"/>
          </w:tcPr>
          <w:p w14:paraId="1CF3CBE4" w14:textId="7FB72702" w:rsidR="00FD16C5" w:rsidRPr="007706F5" w:rsidRDefault="00FD16C5" w:rsidP="00BD5226">
            <w:pPr>
              <w:jc w:val="center"/>
              <w:rPr>
                <w:rFonts w:ascii="Arial" w:hAnsi="Arial" w:cs="Arial"/>
                <w:b/>
                <w:sz w:val="20"/>
                <w:szCs w:val="20"/>
              </w:rPr>
            </w:pPr>
            <w:r w:rsidRPr="007706F5">
              <w:rPr>
                <w:rFonts w:ascii="Arial" w:hAnsi="Arial" w:cs="Arial"/>
                <w:b/>
                <w:sz w:val="20"/>
                <w:szCs w:val="20"/>
              </w:rPr>
              <w:t>Average annual % change</w:t>
            </w:r>
          </w:p>
        </w:tc>
      </w:tr>
      <w:tr w:rsidR="00FD16C5" w:rsidRPr="007706F5" w14:paraId="08F0B21F" w14:textId="77777777" w:rsidTr="00BD5226">
        <w:tc>
          <w:tcPr>
            <w:tcW w:w="2263" w:type="dxa"/>
            <w:vAlign w:val="center"/>
          </w:tcPr>
          <w:p w14:paraId="20A6C51E" w14:textId="04B8F9FD" w:rsidR="00FD16C5" w:rsidRPr="007706F5" w:rsidRDefault="00FD16C5" w:rsidP="00BD5226">
            <w:pPr>
              <w:rPr>
                <w:rFonts w:ascii="Arial" w:hAnsi="Arial" w:cs="Arial"/>
                <w:sz w:val="20"/>
                <w:szCs w:val="20"/>
              </w:rPr>
            </w:pPr>
            <w:r w:rsidRPr="007706F5">
              <w:rPr>
                <w:rFonts w:ascii="Arial" w:hAnsi="Arial" w:cs="Arial"/>
                <w:sz w:val="20"/>
                <w:szCs w:val="20"/>
              </w:rPr>
              <w:t>Queensland</w:t>
            </w:r>
          </w:p>
        </w:tc>
        <w:tc>
          <w:tcPr>
            <w:tcW w:w="1587" w:type="dxa"/>
            <w:vAlign w:val="center"/>
          </w:tcPr>
          <w:p w14:paraId="38E4D715" w14:textId="01918F62"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144,485</w:t>
            </w:r>
          </w:p>
        </w:tc>
        <w:tc>
          <w:tcPr>
            <w:tcW w:w="1926" w:type="dxa"/>
            <w:vAlign w:val="center"/>
          </w:tcPr>
          <w:p w14:paraId="3E1C0989" w14:textId="48364D63"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159,122</w:t>
            </w:r>
          </w:p>
        </w:tc>
        <w:tc>
          <w:tcPr>
            <w:tcW w:w="1926" w:type="dxa"/>
            <w:vAlign w:val="center"/>
          </w:tcPr>
          <w:p w14:paraId="54A69C7E" w14:textId="6B1B7796"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10.1%</w:t>
            </w:r>
          </w:p>
        </w:tc>
        <w:tc>
          <w:tcPr>
            <w:tcW w:w="1926" w:type="dxa"/>
            <w:vAlign w:val="center"/>
          </w:tcPr>
          <w:p w14:paraId="16CE71CE" w14:textId="17C79447"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1.6%</w:t>
            </w:r>
          </w:p>
        </w:tc>
      </w:tr>
      <w:tr w:rsidR="00FD16C5" w:rsidRPr="007706F5" w14:paraId="3EABFDD4" w14:textId="77777777" w:rsidTr="00BD5226">
        <w:tc>
          <w:tcPr>
            <w:tcW w:w="2263" w:type="dxa"/>
            <w:vAlign w:val="center"/>
          </w:tcPr>
          <w:p w14:paraId="14EE1147" w14:textId="4E42EE60" w:rsidR="00FD16C5" w:rsidRPr="007706F5" w:rsidRDefault="00FD16C5" w:rsidP="00BD5226">
            <w:pPr>
              <w:rPr>
                <w:rFonts w:ascii="Arial" w:hAnsi="Arial" w:cs="Arial"/>
                <w:sz w:val="20"/>
                <w:szCs w:val="20"/>
              </w:rPr>
            </w:pPr>
            <w:r w:rsidRPr="007706F5">
              <w:rPr>
                <w:rFonts w:ascii="Arial" w:hAnsi="Arial" w:cs="Arial"/>
                <w:sz w:val="20"/>
                <w:szCs w:val="20"/>
              </w:rPr>
              <w:t>New South Wales</w:t>
            </w:r>
          </w:p>
        </w:tc>
        <w:tc>
          <w:tcPr>
            <w:tcW w:w="1587" w:type="dxa"/>
            <w:vAlign w:val="center"/>
          </w:tcPr>
          <w:p w14:paraId="0C19853F" w14:textId="66439DF0"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146,251</w:t>
            </w:r>
          </w:p>
        </w:tc>
        <w:tc>
          <w:tcPr>
            <w:tcW w:w="1926" w:type="dxa"/>
            <w:vAlign w:val="center"/>
          </w:tcPr>
          <w:p w14:paraId="4A197B0F" w14:textId="4B0EF6B9"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169,192</w:t>
            </w:r>
          </w:p>
        </w:tc>
        <w:tc>
          <w:tcPr>
            <w:tcW w:w="1926" w:type="dxa"/>
            <w:vAlign w:val="center"/>
          </w:tcPr>
          <w:p w14:paraId="4E92B8A1" w14:textId="5E903917"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15.7%</w:t>
            </w:r>
          </w:p>
        </w:tc>
        <w:tc>
          <w:tcPr>
            <w:tcW w:w="1926" w:type="dxa"/>
            <w:vAlign w:val="center"/>
          </w:tcPr>
          <w:p w14:paraId="6DC1CB95" w14:textId="5DEB0444"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2.5%</w:t>
            </w:r>
          </w:p>
        </w:tc>
      </w:tr>
      <w:tr w:rsidR="00FD16C5" w:rsidRPr="007706F5" w14:paraId="653B8F37" w14:textId="77777777" w:rsidTr="00BD5226">
        <w:tc>
          <w:tcPr>
            <w:tcW w:w="2263" w:type="dxa"/>
            <w:vAlign w:val="center"/>
          </w:tcPr>
          <w:p w14:paraId="67357AAA" w14:textId="1B966A6D" w:rsidR="00FD16C5" w:rsidRPr="007706F5" w:rsidRDefault="00FD16C5" w:rsidP="00BD5226">
            <w:pPr>
              <w:rPr>
                <w:rFonts w:ascii="Arial" w:hAnsi="Arial" w:cs="Arial"/>
                <w:sz w:val="20"/>
                <w:szCs w:val="20"/>
              </w:rPr>
            </w:pPr>
            <w:r w:rsidRPr="007706F5">
              <w:rPr>
                <w:rFonts w:ascii="Arial" w:hAnsi="Arial" w:cs="Arial"/>
                <w:sz w:val="20"/>
                <w:szCs w:val="20"/>
              </w:rPr>
              <w:t>South Australia</w:t>
            </w:r>
          </w:p>
        </w:tc>
        <w:tc>
          <w:tcPr>
            <w:tcW w:w="1587" w:type="dxa"/>
            <w:vAlign w:val="center"/>
          </w:tcPr>
          <w:p w14:paraId="09AFC4FF" w14:textId="181BFEB0"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153,130</w:t>
            </w:r>
          </w:p>
        </w:tc>
        <w:tc>
          <w:tcPr>
            <w:tcW w:w="1926" w:type="dxa"/>
            <w:vAlign w:val="center"/>
          </w:tcPr>
          <w:p w14:paraId="37251A11" w14:textId="0506537F"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169,250</w:t>
            </w:r>
          </w:p>
        </w:tc>
        <w:tc>
          <w:tcPr>
            <w:tcW w:w="1926" w:type="dxa"/>
            <w:vAlign w:val="center"/>
          </w:tcPr>
          <w:p w14:paraId="2565D731" w14:textId="1C0F8789"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10.5%</w:t>
            </w:r>
          </w:p>
        </w:tc>
        <w:tc>
          <w:tcPr>
            <w:tcW w:w="1926" w:type="dxa"/>
            <w:vAlign w:val="center"/>
          </w:tcPr>
          <w:p w14:paraId="4EFD448C" w14:textId="1ACF5CA7"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1.7%</w:t>
            </w:r>
          </w:p>
        </w:tc>
      </w:tr>
      <w:tr w:rsidR="00FD16C5" w:rsidRPr="007706F5" w14:paraId="6AC12AAA" w14:textId="77777777" w:rsidTr="00BD5226">
        <w:tc>
          <w:tcPr>
            <w:tcW w:w="2263" w:type="dxa"/>
            <w:vAlign w:val="center"/>
          </w:tcPr>
          <w:p w14:paraId="38F22173" w14:textId="28C93604" w:rsidR="00FD16C5" w:rsidRPr="007706F5" w:rsidRDefault="00FD16C5" w:rsidP="00BD5226">
            <w:pPr>
              <w:rPr>
                <w:rFonts w:ascii="Arial" w:hAnsi="Arial" w:cs="Arial"/>
                <w:sz w:val="20"/>
                <w:szCs w:val="20"/>
              </w:rPr>
            </w:pPr>
            <w:r w:rsidRPr="007706F5">
              <w:rPr>
                <w:rFonts w:ascii="Arial" w:hAnsi="Arial" w:cs="Arial"/>
                <w:sz w:val="20"/>
                <w:szCs w:val="20"/>
              </w:rPr>
              <w:t>Western Australia</w:t>
            </w:r>
          </w:p>
        </w:tc>
        <w:tc>
          <w:tcPr>
            <w:tcW w:w="1587" w:type="dxa"/>
            <w:vAlign w:val="center"/>
          </w:tcPr>
          <w:p w14:paraId="3BFA04E8" w14:textId="5EBDF365"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148,638</w:t>
            </w:r>
          </w:p>
        </w:tc>
        <w:tc>
          <w:tcPr>
            <w:tcW w:w="1926" w:type="dxa"/>
            <w:vAlign w:val="center"/>
          </w:tcPr>
          <w:p w14:paraId="019B00BE" w14:textId="382F55BD"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156,536</w:t>
            </w:r>
          </w:p>
        </w:tc>
        <w:tc>
          <w:tcPr>
            <w:tcW w:w="1926" w:type="dxa"/>
            <w:vAlign w:val="center"/>
          </w:tcPr>
          <w:p w14:paraId="32781EF0" w14:textId="202229E4"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5.3%</w:t>
            </w:r>
          </w:p>
        </w:tc>
        <w:tc>
          <w:tcPr>
            <w:tcW w:w="1926" w:type="dxa"/>
            <w:vAlign w:val="center"/>
          </w:tcPr>
          <w:p w14:paraId="4547B395" w14:textId="59ADE4A5"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0.9%</w:t>
            </w:r>
          </w:p>
        </w:tc>
      </w:tr>
      <w:tr w:rsidR="00FD16C5" w:rsidRPr="007706F5" w14:paraId="78BA5DC5" w14:textId="77777777" w:rsidTr="00BD5226">
        <w:tc>
          <w:tcPr>
            <w:tcW w:w="2263" w:type="dxa"/>
            <w:vAlign w:val="center"/>
          </w:tcPr>
          <w:p w14:paraId="0F8EA184" w14:textId="134A8393" w:rsidR="00FD16C5" w:rsidRPr="007706F5" w:rsidRDefault="00FD16C5" w:rsidP="00BD5226">
            <w:pPr>
              <w:rPr>
                <w:rFonts w:ascii="Arial" w:hAnsi="Arial" w:cs="Arial"/>
                <w:sz w:val="20"/>
                <w:szCs w:val="20"/>
              </w:rPr>
            </w:pPr>
            <w:r w:rsidRPr="007706F5">
              <w:rPr>
                <w:rFonts w:ascii="Arial" w:hAnsi="Arial" w:cs="Arial"/>
                <w:sz w:val="20"/>
                <w:szCs w:val="20"/>
              </w:rPr>
              <w:t>Northern Territory</w:t>
            </w:r>
          </w:p>
        </w:tc>
        <w:tc>
          <w:tcPr>
            <w:tcW w:w="1587" w:type="dxa"/>
            <w:vAlign w:val="center"/>
          </w:tcPr>
          <w:p w14:paraId="6DD6EBB0" w14:textId="0AF90AA8"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143,122</w:t>
            </w:r>
          </w:p>
        </w:tc>
        <w:tc>
          <w:tcPr>
            <w:tcW w:w="1926" w:type="dxa"/>
            <w:vAlign w:val="center"/>
          </w:tcPr>
          <w:p w14:paraId="691CBB9E" w14:textId="0F1A7E17"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162,696</w:t>
            </w:r>
          </w:p>
        </w:tc>
        <w:tc>
          <w:tcPr>
            <w:tcW w:w="1926" w:type="dxa"/>
            <w:vAlign w:val="center"/>
          </w:tcPr>
          <w:p w14:paraId="0E567FD5" w14:textId="7F297F74"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13.7%</w:t>
            </w:r>
          </w:p>
        </w:tc>
        <w:tc>
          <w:tcPr>
            <w:tcW w:w="1926" w:type="dxa"/>
            <w:vAlign w:val="center"/>
          </w:tcPr>
          <w:p w14:paraId="2772C348" w14:textId="760B8C75"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2.2%</w:t>
            </w:r>
          </w:p>
        </w:tc>
      </w:tr>
      <w:tr w:rsidR="00FD16C5" w:rsidRPr="007706F5" w14:paraId="12D67EEA" w14:textId="77777777" w:rsidTr="00BD5226">
        <w:tc>
          <w:tcPr>
            <w:tcW w:w="2263" w:type="dxa"/>
            <w:vAlign w:val="center"/>
          </w:tcPr>
          <w:p w14:paraId="20AC4CBF" w14:textId="3571CE26" w:rsidR="00FD16C5" w:rsidRPr="007706F5" w:rsidRDefault="00FD16C5" w:rsidP="00BD5226">
            <w:pPr>
              <w:rPr>
                <w:rFonts w:ascii="Arial" w:hAnsi="Arial" w:cs="Arial"/>
                <w:sz w:val="20"/>
                <w:szCs w:val="20"/>
              </w:rPr>
            </w:pPr>
            <w:r w:rsidRPr="007706F5">
              <w:rPr>
                <w:rFonts w:ascii="Arial" w:hAnsi="Arial" w:cs="Arial"/>
                <w:sz w:val="20"/>
                <w:szCs w:val="20"/>
              </w:rPr>
              <w:t>Victoria</w:t>
            </w:r>
          </w:p>
        </w:tc>
        <w:tc>
          <w:tcPr>
            <w:tcW w:w="1587" w:type="dxa"/>
            <w:vAlign w:val="center"/>
          </w:tcPr>
          <w:p w14:paraId="0D0910BC" w14:textId="0663EE88"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140,973</w:t>
            </w:r>
          </w:p>
        </w:tc>
        <w:tc>
          <w:tcPr>
            <w:tcW w:w="1926" w:type="dxa"/>
            <w:vAlign w:val="center"/>
          </w:tcPr>
          <w:p w14:paraId="2FD3AB81" w14:textId="42C29765"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182,413</w:t>
            </w:r>
          </w:p>
        </w:tc>
        <w:tc>
          <w:tcPr>
            <w:tcW w:w="1926" w:type="dxa"/>
            <w:vAlign w:val="center"/>
          </w:tcPr>
          <w:p w14:paraId="666737F9" w14:textId="34186681"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29.4%</w:t>
            </w:r>
          </w:p>
        </w:tc>
        <w:tc>
          <w:tcPr>
            <w:tcW w:w="1926" w:type="dxa"/>
            <w:vAlign w:val="center"/>
          </w:tcPr>
          <w:p w14:paraId="20DB2992" w14:textId="27214266"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4.4%</w:t>
            </w:r>
          </w:p>
        </w:tc>
      </w:tr>
      <w:tr w:rsidR="00FD16C5" w:rsidRPr="007706F5" w14:paraId="34EA3168" w14:textId="77777777" w:rsidTr="00BD5226">
        <w:tc>
          <w:tcPr>
            <w:tcW w:w="2263" w:type="dxa"/>
            <w:vAlign w:val="center"/>
          </w:tcPr>
          <w:p w14:paraId="49CF8550" w14:textId="00FECADB" w:rsidR="00FD16C5" w:rsidRPr="007706F5" w:rsidRDefault="00FD16C5" w:rsidP="00BD5226">
            <w:pPr>
              <w:rPr>
                <w:rFonts w:ascii="Arial" w:hAnsi="Arial" w:cs="Arial"/>
                <w:sz w:val="20"/>
                <w:szCs w:val="20"/>
              </w:rPr>
            </w:pPr>
            <w:r w:rsidRPr="007706F5">
              <w:rPr>
                <w:rFonts w:ascii="Arial" w:hAnsi="Arial" w:cs="Arial"/>
                <w:sz w:val="20"/>
                <w:szCs w:val="20"/>
              </w:rPr>
              <w:t>Australian Capital Territory</w:t>
            </w:r>
          </w:p>
        </w:tc>
        <w:tc>
          <w:tcPr>
            <w:tcW w:w="1587" w:type="dxa"/>
            <w:vAlign w:val="center"/>
          </w:tcPr>
          <w:p w14:paraId="393A31A5" w14:textId="3E36DC2D"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125,259</w:t>
            </w:r>
          </w:p>
        </w:tc>
        <w:tc>
          <w:tcPr>
            <w:tcW w:w="1926" w:type="dxa"/>
            <w:vAlign w:val="center"/>
          </w:tcPr>
          <w:p w14:paraId="088F49C8" w14:textId="59A9860F"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168,492</w:t>
            </w:r>
          </w:p>
        </w:tc>
        <w:tc>
          <w:tcPr>
            <w:tcW w:w="1926" w:type="dxa"/>
            <w:vAlign w:val="center"/>
          </w:tcPr>
          <w:p w14:paraId="7C0E3207" w14:textId="41FD0D3C"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34.5%</w:t>
            </w:r>
          </w:p>
        </w:tc>
        <w:tc>
          <w:tcPr>
            <w:tcW w:w="1926" w:type="dxa"/>
            <w:vAlign w:val="center"/>
          </w:tcPr>
          <w:p w14:paraId="47A23579" w14:textId="23F189E5"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5.1%</w:t>
            </w:r>
          </w:p>
        </w:tc>
      </w:tr>
      <w:tr w:rsidR="00FD16C5" w:rsidRPr="007706F5" w14:paraId="669EE4FD" w14:textId="77777777" w:rsidTr="00BD5226">
        <w:tc>
          <w:tcPr>
            <w:tcW w:w="2263" w:type="dxa"/>
            <w:vAlign w:val="center"/>
          </w:tcPr>
          <w:p w14:paraId="7824CB39" w14:textId="49B8F0C6" w:rsidR="00FD16C5" w:rsidRPr="007706F5" w:rsidRDefault="00FD16C5" w:rsidP="00BD5226">
            <w:pPr>
              <w:rPr>
                <w:rFonts w:ascii="Arial" w:hAnsi="Arial" w:cs="Arial"/>
                <w:sz w:val="20"/>
                <w:szCs w:val="20"/>
              </w:rPr>
            </w:pPr>
            <w:r w:rsidRPr="007706F5">
              <w:rPr>
                <w:rFonts w:ascii="Arial" w:hAnsi="Arial" w:cs="Arial"/>
                <w:sz w:val="20"/>
                <w:szCs w:val="20"/>
              </w:rPr>
              <w:t>Tasmania</w:t>
            </w:r>
          </w:p>
        </w:tc>
        <w:tc>
          <w:tcPr>
            <w:tcW w:w="1587" w:type="dxa"/>
            <w:vAlign w:val="center"/>
          </w:tcPr>
          <w:p w14:paraId="369538D4" w14:textId="5788D3E0"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118,466</w:t>
            </w:r>
          </w:p>
        </w:tc>
        <w:tc>
          <w:tcPr>
            <w:tcW w:w="1926" w:type="dxa"/>
            <w:vAlign w:val="center"/>
          </w:tcPr>
          <w:p w14:paraId="15B1DEE1" w14:textId="37351DD4"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140,184</w:t>
            </w:r>
          </w:p>
        </w:tc>
        <w:tc>
          <w:tcPr>
            <w:tcW w:w="1926" w:type="dxa"/>
            <w:vAlign w:val="center"/>
          </w:tcPr>
          <w:p w14:paraId="63C02A9D" w14:textId="0443DA88"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18.3%</w:t>
            </w:r>
          </w:p>
        </w:tc>
        <w:tc>
          <w:tcPr>
            <w:tcW w:w="1926" w:type="dxa"/>
            <w:vAlign w:val="center"/>
          </w:tcPr>
          <w:p w14:paraId="5E2FB0CF" w14:textId="3A2339B2" w:rsidR="00FD16C5" w:rsidRPr="007706F5" w:rsidRDefault="00FD16C5" w:rsidP="00BD5226">
            <w:pPr>
              <w:jc w:val="center"/>
              <w:rPr>
                <w:rFonts w:ascii="Arial" w:hAnsi="Arial" w:cs="Arial"/>
                <w:sz w:val="20"/>
                <w:szCs w:val="20"/>
              </w:rPr>
            </w:pPr>
            <w:r w:rsidRPr="007706F5">
              <w:rPr>
                <w:rFonts w:ascii="Arial" w:hAnsi="Arial" w:cs="Arial"/>
                <w:color w:val="000000"/>
                <w:sz w:val="20"/>
                <w:szCs w:val="20"/>
              </w:rPr>
              <w:t>2.8%</w:t>
            </w:r>
          </w:p>
        </w:tc>
      </w:tr>
    </w:tbl>
    <w:p w14:paraId="6D7D74AF" w14:textId="77777777" w:rsidR="00FD16C5" w:rsidRPr="007706F5" w:rsidRDefault="00FD16C5" w:rsidP="00FD16C5"/>
    <w:p w14:paraId="2EA0F622" w14:textId="65EA6F81" w:rsidR="00191ED4" w:rsidRPr="007706F5" w:rsidRDefault="00191ED4" w:rsidP="00BD5226">
      <w:pPr>
        <w:pStyle w:val="Subtitle"/>
        <w:keepNext/>
        <w:keepLines/>
        <w:spacing w:after="160" w:line="259" w:lineRule="auto"/>
        <w:rPr>
          <w:rFonts w:ascii="Arial" w:hAnsi="Arial" w:cs="Arial"/>
          <w:i w:val="0"/>
          <w:iCs w:val="0"/>
          <w:color w:val="auto"/>
          <w:spacing w:val="0"/>
          <w:sz w:val="22"/>
          <w:szCs w:val="22"/>
        </w:rPr>
      </w:pPr>
      <w:r w:rsidRPr="007706F5">
        <w:rPr>
          <w:rFonts w:ascii="Arial" w:hAnsi="Arial" w:cs="Arial"/>
          <w:i w:val="0"/>
          <w:iCs w:val="0"/>
          <w:color w:val="auto"/>
          <w:spacing w:val="0"/>
          <w:sz w:val="22"/>
          <w:szCs w:val="22"/>
        </w:rPr>
        <w:lastRenderedPageBreak/>
        <w:t xml:space="preserve">Additional salaries are set relative to the additional salary of the Premier. A comparison </w:t>
      </w:r>
      <w:r w:rsidR="00BD5226" w:rsidRPr="007706F5">
        <w:rPr>
          <w:rFonts w:ascii="Arial" w:hAnsi="Arial" w:cs="Arial"/>
          <w:i w:val="0"/>
          <w:iCs w:val="0"/>
          <w:color w:val="auto"/>
          <w:spacing w:val="0"/>
          <w:sz w:val="22"/>
          <w:szCs w:val="22"/>
        </w:rPr>
        <w:t xml:space="preserve">of the salary of the Queensland Premier compared with the </w:t>
      </w:r>
      <w:r w:rsidRPr="007706F5">
        <w:rPr>
          <w:rFonts w:ascii="Arial" w:hAnsi="Arial" w:cs="Arial"/>
          <w:i w:val="0"/>
          <w:iCs w:val="0"/>
          <w:color w:val="auto"/>
          <w:spacing w:val="0"/>
          <w:sz w:val="22"/>
          <w:szCs w:val="22"/>
        </w:rPr>
        <w:t xml:space="preserve">Premier/Chief Minister in other jurisdictions </w:t>
      </w:r>
      <w:r w:rsidR="00FD16C5" w:rsidRPr="007706F5">
        <w:rPr>
          <w:rFonts w:ascii="Arial" w:hAnsi="Arial" w:cs="Arial"/>
          <w:i w:val="0"/>
          <w:iCs w:val="0"/>
          <w:color w:val="auto"/>
          <w:spacing w:val="0"/>
          <w:sz w:val="22"/>
          <w:szCs w:val="22"/>
        </w:rPr>
        <w:t xml:space="preserve">is below: </w:t>
      </w:r>
    </w:p>
    <w:tbl>
      <w:tblPr>
        <w:tblStyle w:val="TableGrid"/>
        <w:tblW w:w="0" w:type="auto"/>
        <w:tblLook w:val="04A0" w:firstRow="1" w:lastRow="0" w:firstColumn="1" w:lastColumn="0" w:noHBand="0" w:noVBand="1"/>
      </w:tblPr>
      <w:tblGrid>
        <w:gridCol w:w="2263"/>
        <w:gridCol w:w="1587"/>
        <w:gridCol w:w="1926"/>
        <w:gridCol w:w="1926"/>
        <w:gridCol w:w="1926"/>
      </w:tblGrid>
      <w:tr w:rsidR="00BD5226" w:rsidRPr="007706F5" w14:paraId="183B1F2C" w14:textId="77777777" w:rsidTr="00BD5226">
        <w:trPr>
          <w:tblHeader/>
        </w:trPr>
        <w:tc>
          <w:tcPr>
            <w:tcW w:w="2263" w:type="dxa"/>
            <w:shd w:val="clear" w:color="auto" w:fill="8EAADB" w:themeFill="accent1" w:themeFillTint="99"/>
            <w:vAlign w:val="center"/>
          </w:tcPr>
          <w:p w14:paraId="728B0419" w14:textId="77777777" w:rsidR="00BD5226" w:rsidRPr="007706F5" w:rsidRDefault="00BD5226" w:rsidP="00BD5226">
            <w:pPr>
              <w:keepNext/>
              <w:keepLines/>
              <w:jc w:val="center"/>
              <w:rPr>
                <w:rFonts w:ascii="Arial" w:hAnsi="Arial" w:cs="Arial"/>
                <w:b/>
                <w:sz w:val="20"/>
                <w:szCs w:val="20"/>
              </w:rPr>
            </w:pPr>
            <w:r w:rsidRPr="007706F5">
              <w:rPr>
                <w:rFonts w:ascii="Arial" w:hAnsi="Arial" w:cs="Arial"/>
                <w:b/>
                <w:sz w:val="20"/>
                <w:szCs w:val="20"/>
              </w:rPr>
              <w:t>Jurisdiction</w:t>
            </w:r>
          </w:p>
        </w:tc>
        <w:tc>
          <w:tcPr>
            <w:tcW w:w="1587" w:type="dxa"/>
            <w:shd w:val="clear" w:color="auto" w:fill="8EAADB" w:themeFill="accent1" w:themeFillTint="99"/>
            <w:vAlign w:val="center"/>
          </w:tcPr>
          <w:p w14:paraId="5A293010" w14:textId="1F2977F3" w:rsidR="00BD5226" w:rsidRPr="007706F5" w:rsidRDefault="00BD5226" w:rsidP="00BD5226">
            <w:pPr>
              <w:keepNext/>
              <w:keepLines/>
              <w:jc w:val="center"/>
              <w:rPr>
                <w:rFonts w:ascii="Arial" w:hAnsi="Arial" w:cs="Arial"/>
                <w:b/>
                <w:sz w:val="20"/>
                <w:szCs w:val="20"/>
              </w:rPr>
            </w:pPr>
            <w:r w:rsidRPr="007706F5">
              <w:rPr>
                <w:rFonts w:ascii="Arial" w:hAnsi="Arial" w:cs="Arial"/>
                <w:b/>
                <w:sz w:val="20"/>
                <w:szCs w:val="20"/>
              </w:rPr>
              <w:t>Base and Additional Salary 2014</w:t>
            </w:r>
          </w:p>
        </w:tc>
        <w:tc>
          <w:tcPr>
            <w:tcW w:w="1926" w:type="dxa"/>
            <w:shd w:val="clear" w:color="auto" w:fill="8EAADB" w:themeFill="accent1" w:themeFillTint="99"/>
            <w:vAlign w:val="center"/>
          </w:tcPr>
          <w:p w14:paraId="7925AEC0" w14:textId="0E13572E" w:rsidR="00BD5226" w:rsidRPr="007706F5" w:rsidRDefault="00BD5226" w:rsidP="00BD5226">
            <w:pPr>
              <w:keepNext/>
              <w:keepLines/>
              <w:jc w:val="center"/>
              <w:rPr>
                <w:rFonts w:ascii="Arial" w:hAnsi="Arial" w:cs="Arial"/>
                <w:b/>
                <w:sz w:val="20"/>
                <w:szCs w:val="20"/>
              </w:rPr>
            </w:pPr>
            <w:r w:rsidRPr="007706F5">
              <w:rPr>
                <w:rFonts w:ascii="Arial" w:hAnsi="Arial" w:cs="Arial"/>
                <w:b/>
                <w:sz w:val="20"/>
                <w:szCs w:val="20"/>
              </w:rPr>
              <w:t>Base and Additional Salary 2019</w:t>
            </w:r>
          </w:p>
        </w:tc>
        <w:tc>
          <w:tcPr>
            <w:tcW w:w="1926" w:type="dxa"/>
            <w:shd w:val="clear" w:color="auto" w:fill="8EAADB" w:themeFill="accent1" w:themeFillTint="99"/>
            <w:vAlign w:val="center"/>
          </w:tcPr>
          <w:p w14:paraId="35ADECE5" w14:textId="77777777" w:rsidR="00BD5226" w:rsidRPr="007706F5" w:rsidRDefault="00BD5226" w:rsidP="00BD5226">
            <w:pPr>
              <w:keepNext/>
              <w:keepLines/>
              <w:jc w:val="center"/>
              <w:rPr>
                <w:rFonts w:ascii="Arial" w:hAnsi="Arial" w:cs="Arial"/>
                <w:b/>
                <w:sz w:val="20"/>
                <w:szCs w:val="20"/>
              </w:rPr>
            </w:pPr>
            <w:r w:rsidRPr="007706F5">
              <w:rPr>
                <w:rFonts w:ascii="Arial" w:hAnsi="Arial" w:cs="Arial"/>
                <w:b/>
                <w:sz w:val="20"/>
                <w:szCs w:val="20"/>
              </w:rPr>
              <w:t>Total % change</w:t>
            </w:r>
          </w:p>
        </w:tc>
        <w:tc>
          <w:tcPr>
            <w:tcW w:w="1926" w:type="dxa"/>
            <w:shd w:val="clear" w:color="auto" w:fill="8EAADB" w:themeFill="accent1" w:themeFillTint="99"/>
            <w:vAlign w:val="center"/>
          </w:tcPr>
          <w:p w14:paraId="6C65CB74" w14:textId="77777777" w:rsidR="00BD5226" w:rsidRPr="007706F5" w:rsidRDefault="00BD5226" w:rsidP="00BD5226">
            <w:pPr>
              <w:keepNext/>
              <w:keepLines/>
              <w:jc w:val="center"/>
              <w:rPr>
                <w:rFonts w:ascii="Arial" w:hAnsi="Arial" w:cs="Arial"/>
                <w:b/>
                <w:sz w:val="20"/>
                <w:szCs w:val="20"/>
              </w:rPr>
            </w:pPr>
            <w:r w:rsidRPr="007706F5">
              <w:rPr>
                <w:rFonts w:ascii="Arial" w:hAnsi="Arial" w:cs="Arial"/>
                <w:b/>
                <w:sz w:val="20"/>
                <w:szCs w:val="20"/>
              </w:rPr>
              <w:t>Average annual % change</w:t>
            </w:r>
          </w:p>
        </w:tc>
      </w:tr>
      <w:tr w:rsidR="00BD5226" w:rsidRPr="007706F5" w14:paraId="26DB8B2D" w14:textId="77777777" w:rsidTr="00BD5226">
        <w:tc>
          <w:tcPr>
            <w:tcW w:w="2263" w:type="dxa"/>
          </w:tcPr>
          <w:p w14:paraId="2F27A28B"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Queensland</w:t>
            </w:r>
          </w:p>
        </w:tc>
        <w:tc>
          <w:tcPr>
            <w:tcW w:w="1587" w:type="dxa"/>
            <w:vAlign w:val="center"/>
          </w:tcPr>
          <w:p w14:paraId="1E9373E2" w14:textId="6D322E4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379,160</w:t>
            </w:r>
          </w:p>
        </w:tc>
        <w:tc>
          <w:tcPr>
            <w:tcW w:w="1926" w:type="dxa"/>
            <w:vAlign w:val="center"/>
          </w:tcPr>
          <w:p w14:paraId="19D16039" w14:textId="774FF22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399,955</w:t>
            </w:r>
          </w:p>
        </w:tc>
        <w:tc>
          <w:tcPr>
            <w:tcW w:w="1926" w:type="dxa"/>
            <w:vAlign w:val="center"/>
          </w:tcPr>
          <w:p w14:paraId="10652A40" w14:textId="00668D6F"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5.5%</w:t>
            </w:r>
          </w:p>
        </w:tc>
        <w:tc>
          <w:tcPr>
            <w:tcW w:w="1926" w:type="dxa"/>
            <w:vAlign w:val="center"/>
          </w:tcPr>
          <w:p w14:paraId="14128DED" w14:textId="07C1AF27"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1.1%</w:t>
            </w:r>
          </w:p>
        </w:tc>
      </w:tr>
      <w:tr w:rsidR="00BD5226" w:rsidRPr="007706F5" w14:paraId="10DDED83" w14:textId="77777777" w:rsidTr="00BD5226">
        <w:tc>
          <w:tcPr>
            <w:tcW w:w="2263" w:type="dxa"/>
          </w:tcPr>
          <w:p w14:paraId="4F76FB2A"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New South Wales</w:t>
            </w:r>
          </w:p>
        </w:tc>
        <w:tc>
          <w:tcPr>
            <w:tcW w:w="1587" w:type="dxa"/>
            <w:vAlign w:val="center"/>
          </w:tcPr>
          <w:p w14:paraId="228E4E7B" w14:textId="67C12DB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350,628</w:t>
            </w:r>
          </w:p>
        </w:tc>
        <w:tc>
          <w:tcPr>
            <w:tcW w:w="1926" w:type="dxa"/>
            <w:vAlign w:val="center"/>
          </w:tcPr>
          <w:p w14:paraId="48657E74" w14:textId="069CE97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407,980</w:t>
            </w:r>
          </w:p>
        </w:tc>
        <w:tc>
          <w:tcPr>
            <w:tcW w:w="1926" w:type="dxa"/>
            <w:vAlign w:val="center"/>
          </w:tcPr>
          <w:p w14:paraId="78B103B3" w14:textId="56C6BD40"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16.4%</w:t>
            </w:r>
          </w:p>
        </w:tc>
        <w:tc>
          <w:tcPr>
            <w:tcW w:w="1926" w:type="dxa"/>
            <w:vAlign w:val="center"/>
          </w:tcPr>
          <w:p w14:paraId="39E7E8E2" w14:textId="29568A9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3.1%</w:t>
            </w:r>
          </w:p>
        </w:tc>
      </w:tr>
      <w:tr w:rsidR="00BD5226" w:rsidRPr="007706F5" w14:paraId="6FB930C8" w14:textId="77777777" w:rsidTr="00BD5226">
        <w:tc>
          <w:tcPr>
            <w:tcW w:w="2263" w:type="dxa"/>
          </w:tcPr>
          <w:p w14:paraId="2CED720A"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South Australia</w:t>
            </w:r>
          </w:p>
        </w:tc>
        <w:tc>
          <w:tcPr>
            <w:tcW w:w="1587" w:type="dxa"/>
            <w:vAlign w:val="center"/>
          </w:tcPr>
          <w:p w14:paraId="2C3CACFF" w14:textId="47AB07A5"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306,260</w:t>
            </w:r>
          </w:p>
        </w:tc>
        <w:tc>
          <w:tcPr>
            <w:tcW w:w="1926" w:type="dxa"/>
            <w:vAlign w:val="center"/>
          </w:tcPr>
          <w:p w14:paraId="2EC5716E" w14:textId="4FEE1B1E"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338,500</w:t>
            </w:r>
          </w:p>
        </w:tc>
        <w:tc>
          <w:tcPr>
            <w:tcW w:w="1926" w:type="dxa"/>
            <w:vAlign w:val="center"/>
          </w:tcPr>
          <w:p w14:paraId="679D44AD" w14:textId="7260FA2D"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10.5%</w:t>
            </w:r>
          </w:p>
        </w:tc>
        <w:tc>
          <w:tcPr>
            <w:tcW w:w="1926" w:type="dxa"/>
            <w:vAlign w:val="center"/>
          </w:tcPr>
          <w:p w14:paraId="17609823" w14:textId="4B01D0F0"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2.0%</w:t>
            </w:r>
          </w:p>
        </w:tc>
      </w:tr>
      <w:tr w:rsidR="00BD5226" w:rsidRPr="007706F5" w14:paraId="5B08B35C" w14:textId="77777777" w:rsidTr="00BD5226">
        <w:tc>
          <w:tcPr>
            <w:tcW w:w="2263" w:type="dxa"/>
          </w:tcPr>
          <w:p w14:paraId="2E916018"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Western Australia</w:t>
            </w:r>
          </w:p>
        </w:tc>
        <w:tc>
          <w:tcPr>
            <w:tcW w:w="1587" w:type="dxa"/>
            <w:vAlign w:val="center"/>
          </w:tcPr>
          <w:p w14:paraId="1A2040E1" w14:textId="368A76C3"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344,840</w:t>
            </w:r>
          </w:p>
        </w:tc>
        <w:tc>
          <w:tcPr>
            <w:tcW w:w="1926" w:type="dxa"/>
            <w:vAlign w:val="center"/>
          </w:tcPr>
          <w:p w14:paraId="6265A824" w14:textId="4B8330D1"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355,681</w:t>
            </w:r>
          </w:p>
        </w:tc>
        <w:tc>
          <w:tcPr>
            <w:tcW w:w="1926" w:type="dxa"/>
            <w:vAlign w:val="center"/>
          </w:tcPr>
          <w:p w14:paraId="70F053F4" w14:textId="247BCA59"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3.1%</w:t>
            </w:r>
          </w:p>
        </w:tc>
        <w:tc>
          <w:tcPr>
            <w:tcW w:w="1926" w:type="dxa"/>
            <w:vAlign w:val="center"/>
          </w:tcPr>
          <w:p w14:paraId="4ED1A08A" w14:textId="137DF104"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0.6%</w:t>
            </w:r>
          </w:p>
        </w:tc>
      </w:tr>
      <w:tr w:rsidR="00BD5226" w:rsidRPr="007706F5" w14:paraId="6021273E" w14:textId="77777777" w:rsidTr="00BD5226">
        <w:tc>
          <w:tcPr>
            <w:tcW w:w="2263" w:type="dxa"/>
          </w:tcPr>
          <w:p w14:paraId="77D5B978"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Northern Territory</w:t>
            </w:r>
          </w:p>
        </w:tc>
        <w:tc>
          <w:tcPr>
            <w:tcW w:w="1587" w:type="dxa"/>
            <w:vAlign w:val="center"/>
          </w:tcPr>
          <w:p w14:paraId="5D3923C2" w14:textId="7E27F2F0"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272,000</w:t>
            </w:r>
          </w:p>
        </w:tc>
        <w:tc>
          <w:tcPr>
            <w:tcW w:w="1926" w:type="dxa"/>
            <w:vAlign w:val="center"/>
          </w:tcPr>
          <w:p w14:paraId="741DAA5B" w14:textId="5B00D1B5"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325,392</w:t>
            </w:r>
          </w:p>
        </w:tc>
        <w:tc>
          <w:tcPr>
            <w:tcW w:w="1926" w:type="dxa"/>
            <w:vAlign w:val="center"/>
          </w:tcPr>
          <w:p w14:paraId="311D5FF1" w14:textId="02415870"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19.6%</w:t>
            </w:r>
          </w:p>
        </w:tc>
        <w:tc>
          <w:tcPr>
            <w:tcW w:w="1926" w:type="dxa"/>
            <w:vAlign w:val="center"/>
          </w:tcPr>
          <w:p w14:paraId="4EF67631" w14:textId="7D6C43FA"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3.6%</w:t>
            </w:r>
          </w:p>
        </w:tc>
      </w:tr>
      <w:tr w:rsidR="00BD5226" w:rsidRPr="007706F5" w14:paraId="2E7F3FEB" w14:textId="77777777" w:rsidTr="00BD5226">
        <w:tc>
          <w:tcPr>
            <w:tcW w:w="2263" w:type="dxa"/>
          </w:tcPr>
          <w:p w14:paraId="72EB4F82"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Victoria</w:t>
            </w:r>
          </w:p>
        </w:tc>
        <w:tc>
          <w:tcPr>
            <w:tcW w:w="1587" w:type="dxa"/>
            <w:vAlign w:val="center"/>
          </w:tcPr>
          <w:p w14:paraId="48563433" w14:textId="65CF3889"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341,155</w:t>
            </w:r>
          </w:p>
        </w:tc>
        <w:tc>
          <w:tcPr>
            <w:tcW w:w="1926" w:type="dxa"/>
            <w:vAlign w:val="center"/>
          </w:tcPr>
          <w:p w14:paraId="2E1D59AD" w14:textId="1F144314"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441,439</w:t>
            </w:r>
          </w:p>
        </w:tc>
        <w:tc>
          <w:tcPr>
            <w:tcW w:w="1926" w:type="dxa"/>
            <w:vAlign w:val="center"/>
          </w:tcPr>
          <w:p w14:paraId="370610D3" w14:textId="5CC9E1D7"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29.4%</w:t>
            </w:r>
          </w:p>
        </w:tc>
        <w:tc>
          <w:tcPr>
            <w:tcW w:w="1926" w:type="dxa"/>
            <w:vAlign w:val="center"/>
          </w:tcPr>
          <w:p w14:paraId="7EC0335C" w14:textId="73CE1C61"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5.3%</w:t>
            </w:r>
          </w:p>
        </w:tc>
      </w:tr>
      <w:tr w:rsidR="00BD5226" w:rsidRPr="007706F5" w14:paraId="53D08580" w14:textId="77777777" w:rsidTr="00BD5226">
        <w:tc>
          <w:tcPr>
            <w:tcW w:w="2263" w:type="dxa"/>
          </w:tcPr>
          <w:p w14:paraId="62C3D8A2"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 xml:space="preserve">Australian Capital Territory </w:t>
            </w:r>
          </w:p>
        </w:tc>
        <w:tc>
          <w:tcPr>
            <w:tcW w:w="1587" w:type="dxa"/>
            <w:vAlign w:val="center"/>
          </w:tcPr>
          <w:p w14:paraId="0E5ABCE2" w14:textId="20351257"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263,044</w:t>
            </w:r>
          </w:p>
        </w:tc>
        <w:tc>
          <w:tcPr>
            <w:tcW w:w="1926" w:type="dxa"/>
            <w:vAlign w:val="center"/>
          </w:tcPr>
          <w:p w14:paraId="4A0CF182" w14:textId="2EE4FA57"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353,833</w:t>
            </w:r>
          </w:p>
        </w:tc>
        <w:tc>
          <w:tcPr>
            <w:tcW w:w="1926" w:type="dxa"/>
            <w:vAlign w:val="center"/>
          </w:tcPr>
          <w:p w14:paraId="6D99E609" w14:textId="04AFB07E"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34.5%</w:t>
            </w:r>
          </w:p>
        </w:tc>
        <w:tc>
          <w:tcPr>
            <w:tcW w:w="1926" w:type="dxa"/>
            <w:vAlign w:val="center"/>
          </w:tcPr>
          <w:p w14:paraId="441AD0FE" w14:textId="55A07BAD"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6.1%</w:t>
            </w:r>
          </w:p>
        </w:tc>
      </w:tr>
      <w:tr w:rsidR="00BD5226" w:rsidRPr="007706F5" w14:paraId="7F038AB4" w14:textId="77777777" w:rsidTr="00BD5226">
        <w:tc>
          <w:tcPr>
            <w:tcW w:w="2263" w:type="dxa"/>
          </w:tcPr>
          <w:p w14:paraId="019E688E" w14:textId="77777777" w:rsidR="00BD5226" w:rsidRPr="007706F5" w:rsidRDefault="00BD5226" w:rsidP="00BD5226">
            <w:pPr>
              <w:keepNext/>
              <w:keepLines/>
              <w:rPr>
                <w:rFonts w:ascii="Arial" w:hAnsi="Arial" w:cs="Arial"/>
                <w:sz w:val="20"/>
                <w:szCs w:val="20"/>
              </w:rPr>
            </w:pPr>
            <w:r w:rsidRPr="007706F5">
              <w:rPr>
                <w:rFonts w:ascii="Arial" w:hAnsi="Arial" w:cs="Arial"/>
                <w:sz w:val="20"/>
                <w:szCs w:val="20"/>
              </w:rPr>
              <w:t xml:space="preserve">Tasmania </w:t>
            </w:r>
          </w:p>
        </w:tc>
        <w:tc>
          <w:tcPr>
            <w:tcW w:w="1587" w:type="dxa"/>
            <w:vAlign w:val="center"/>
          </w:tcPr>
          <w:p w14:paraId="351DB606" w14:textId="2E63D5AB"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268,918</w:t>
            </w:r>
          </w:p>
        </w:tc>
        <w:tc>
          <w:tcPr>
            <w:tcW w:w="1926" w:type="dxa"/>
            <w:vAlign w:val="center"/>
          </w:tcPr>
          <w:p w14:paraId="4FDCE4FD" w14:textId="358EF18A"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301,396</w:t>
            </w:r>
          </w:p>
        </w:tc>
        <w:tc>
          <w:tcPr>
            <w:tcW w:w="1926" w:type="dxa"/>
            <w:vAlign w:val="center"/>
          </w:tcPr>
          <w:p w14:paraId="684996F6" w14:textId="349610EE"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12.1%</w:t>
            </w:r>
          </w:p>
        </w:tc>
        <w:tc>
          <w:tcPr>
            <w:tcW w:w="1926" w:type="dxa"/>
            <w:vAlign w:val="center"/>
          </w:tcPr>
          <w:p w14:paraId="6A3143D1" w14:textId="309A1AAD" w:rsidR="00BD5226" w:rsidRPr="007706F5" w:rsidRDefault="00BD5226" w:rsidP="00BD5226">
            <w:pPr>
              <w:keepNext/>
              <w:keepLines/>
              <w:jc w:val="center"/>
              <w:rPr>
                <w:rFonts w:ascii="Arial" w:hAnsi="Arial" w:cs="Arial"/>
                <w:sz w:val="20"/>
                <w:szCs w:val="20"/>
              </w:rPr>
            </w:pPr>
            <w:r w:rsidRPr="007706F5">
              <w:rPr>
                <w:rFonts w:ascii="Arial" w:hAnsi="Arial" w:cs="Arial"/>
                <w:color w:val="000000"/>
                <w:sz w:val="20"/>
                <w:szCs w:val="20"/>
              </w:rPr>
              <w:t>2.3%</w:t>
            </w:r>
          </w:p>
        </w:tc>
      </w:tr>
    </w:tbl>
    <w:p w14:paraId="2F410A8B" w14:textId="77777777" w:rsidR="00FD16C5" w:rsidRPr="007706F5" w:rsidRDefault="00FD16C5" w:rsidP="00FD16C5"/>
    <w:p w14:paraId="7270921D" w14:textId="04B40064" w:rsidR="009E65BA" w:rsidRPr="007706F5" w:rsidRDefault="009E65BA" w:rsidP="009E65BA">
      <w:pPr>
        <w:pStyle w:val="Subtitle"/>
        <w:spacing w:after="160" w:line="259" w:lineRule="auto"/>
        <w:rPr>
          <w:rFonts w:ascii="Arial" w:hAnsi="Arial" w:cs="Arial"/>
          <w:sz w:val="23"/>
          <w:szCs w:val="23"/>
        </w:rPr>
      </w:pPr>
      <w:r w:rsidRPr="007706F5">
        <w:rPr>
          <w:rFonts w:ascii="Arial" w:hAnsi="Arial" w:cs="Arial"/>
          <w:sz w:val="23"/>
          <w:szCs w:val="23"/>
        </w:rPr>
        <w:t xml:space="preserve">Views of </w:t>
      </w:r>
      <w:r w:rsidR="000825BB" w:rsidRPr="007706F5">
        <w:rPr>
          <w:rFonts w:ascii="Arial" w:hAnsi="Arial" w:cs="Arial"/>
          <w:sz w:val="23"/>
          <w:szCs w:val="23"/>
        </w:rPr>
        <w:t xml:space="preserve">the Tribunal </w:t>
      </w:r>
      <w:r w:rsidRPr="007706F5">
        <w:rPr>
          <w:rFonts w:ascii="Arial" w:hAnsi="Arial" w:cs="Arial"/>
          <w:sz w:val="23"/>
          <w:szCs w:val="23"/>
        </w:rPr>
        <w:t xml:space="preserve">on salary </w:t>
      </w:r>
      <w:r w:rsidR="000825BB" w:rsidRPr="007706F5">
        <w:rPr>
          <w:rFonts w:ascii="Arial" w:hAnsi="Arial" w:cs="Arial"/>
          <w:sz w:val="23"/>
          <w:szCs w:val="23"/>
        </w:rPr>
        <w:t>levels</w:t>
      </w:r>
    </w:p>
    <w:p w14:paraId="1C5E8A81" w14:textId="5D18EB7D" w:rsidR="00E054D0" w:rsidRPr="007706F5" w:rsidRDefault="00C9510B" w:rsidP="00742BB1">
      <w:pPr>
        <w:pStyle w:val="Subtitle"/>
        <w:spacing w:after="160" w:line="259" w:lineRule="auto"/>
        <w:rPr>
          <w:rFonts w:ascii="Arial" w:hAnsi="Arial" w:cs="Arial"/>
          <w:i w:val="0"/>
          <w:iCs w:val="0"/>
          <w:color w:val="auto"/>
          <w:spacing w:val="0"/>
          <w:sz w:val="22"/>
          <w:szCs w:val="22"/>
          <w:u w:val="single"/>
        </w:rPr>
      </w:pPr>
      <w:bookmarkStart w:id="0" w:name="_Hlk47443653"/>
      <w:r w:rsidRPr="007706F5">
        <w:rPr>
          <w:rFonts w:ascii="Arial" w:hAnsi="Arial" w:cs="Arial"/>
          <w:i w:val="0"/>
          <w:iCs w:val="0"/>
          <w:color w:val="auto"/>
          <w:spacing w:val="0"/>
          <w:sz w:val="22"/>
          <w:szCs w:val="22"/>
          <w:u w:val="single"/>
        </w:rPr>
        <w:t>Members’ view</w:t>
      </w:r>
    </w:p>
    <w:p w14:paraId="14CFA43E" w14:textId="355D4400" w:rsidR="00E50AEC" w:rsidRPr="00190A36" w:rsidRDefault="00E50AEC" w:rsidP="00E50AEC">
      <w:pPr>
        <w:pStyle w:val="Subtitle"/>
        <w:spacing w:after="160" w:line="259" w:lineRule="auto"/>
        <w:rPr>
          <w:rFonts w:ascii="Arial" w:hAnsi="Arial" w:cs="Arial"/>
          <w:i w:val="0"/>
          <w:iCs w:val="0"/>
          <w:color w:val="auto"/>
          <w:spacing w:val="0"/>
          <w:sz w:val="22"/>
          <w:szCs w:val="22"/>
        </w:rPr>
      </w:pPr>
      <w:bookmarkStart w:id="1" w:name="_Hlk46912672"/>
      <w:bookmarkEnd w:id="0"/>
      <w:r w:rsidRPr="00190A36">
        <w:rPr>
          <w:rFonts w:ascii="Arial" w:hAnsi="Arial" w:cs="Arial"/>
          <w:i w:val="0"/>
          <w:iCs w:val="0"/>
          <w:color w:val="auto"/>
          <w:spacing w:val="0"/>
          <w:sz w:val="22"/>
          <w:szCs w:val="22"/>
        </w:rPr>
        <w:t xml:space="preserve">In reaching their decision, </w:t>
      </w:r>
      <w:r w:rsidR="00C9510B" w:rsidRPr="00190A36">
        <w:rPr>
          <w:rFonts w:ascii="Arial" w:hAnsi="Arial" w:cs="Arial"/>
          <w:i w:val="0"/>
          <w:iCs w:val="0"/>
          <w:color w:val="auto"/>
          <w:spacing w:val="0"/>
          <w:sz w:val="22"/>
          <w:szCs w:val="22"/>
        </w:rPr>
        <w:t xml:space="preserve">all </w:t>
      </w:r>
      <w:r w:rsidRPr="00190A36">
        <w:rPr>
          <w:rFonts w:ascii="Arial" w:hAnsi="Arial" w:cs="Arial"/>
          <w:i w:val="0"/>
          <w:iCs w:val="0"/>
          <w:color w:val="auto"/>
          <w:spacing w:val="0"/>
          <w:sz w:val="22"/>
          <w:szCs w:val="22"/>
        </w:rPr>
        <w:t>members</w:t>
      </w:r>
      <w:r w:rsidR="00C9510B" w:rsidRPr="00190A36">
        <w:rPr>
          <w:rFonts w:ascii="Arial" w:hAnsi="Arial" w:cs="Arial"/>
          <w:i w:val="0"/>
          <w:iCs w:val="0"/>
          <w:color w:val="auto"/>
          <w:spacing w:val="0"/>
          <w:sz w:val="22"/>
          <w:szCs w:val="22"/>
        </w:rPr>
        <w:t xml:space="preserve"> </w:t>
      </w:r>
      <w:r w:rsidRPr="00190A36">
        <w:rPr>
          <w:rFonts w:ascii="Arial" w:hAnsi="Arial" w:cs="Arial"/>
          <w:i w:val="0"/>
          <w:iCs w:val="0"/>
          <w:color w:val="auto"/>
          <w:spacing w:val="0"/>
          <w:sz w:val="22"/>
          <w:szCs w:val="22"/>
        </w:rPr>
        <w:t>considered</w:t>
      </w:r>
      <w:r w:rsidR="00C9510B" w:rsidRPr="00190A36">
        <w:rPr>
          <w:rFonts w:ascii="Arial" w:hAnsi="Arial" w:cs="Arial"/>
          <w:i w:val="0"/>
          <w:iCs w:val="0"/>
          <w:color w:val="auto"/>
          <w:spacing w:val="0"/>
          <w:sz w:val="22"/>
          <w:szCs w:val="22"/>
        </w:rPr>
        <w:t xml:space="preserve"> the following:</w:t>
      </w:r>
    </w:p>
    <w:p w14:paraId="0C28609B" w14:textId="7BFA321F" w:rsidR="00C9510B" w:rsidRPr="00190A36" w:rsidRDefault="00C9510B" w:rsidP="00E50AEC">
      <w:pPr>
        <w:pStyle w:val="Subtitle"/>
        <w:numPr>
          <w:ilvl w:val="0"/>
          <w:numId w:val="19"/>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the recent decisions of the Queensland Industrial Relations Commission and the Fair Work Commission and the bases upon which those decisions were </w:t>
      </w:r>
      <w:proofErr w:type="gramStart"/>
      <w:r w:rsidRPr="00190A36">
        <w:rPr>
          <w:rFonts w:ascii="Arial" w:hAnsi="Arial" w:cs="Arial"/>
          <w:i w:val="0"/>
          <w:iCs w:val="0"/>
          <w:color w:val="auto"/>
          <w:spacing w:val="0"/>
          <w:sz w:val="22"/>
          <w:szCs w:val="22"/>
        </w:rPr>
        <w:t>made</w:t>
      </w:r>
      <w:proofErr w:type="gramEnd"/>
    </w:p>
    <w:p w14:paraId="7CDC9A9D" w14:textId="56067569" w:rsidR="00E50AEC" w:rsidRPr="00190A36" w:rsidRDefault="00E50AEC" w:rsidP="00E50AEC">
      <w:pPr>
        <w:pStyle w:val="Subtitle"/>
        <w:numPr>
          <w:ilvl w:val="0"/>
          <w:numId w:val="19"/>
        </w:numPr>
        <w:spacing w:after="160" w:line="259" w:lineRule="auto"/>
        <w:rPr>
          <w:rFonts w:ascii="Arial" w:hAnsi="Arial" w:cs="Arial"/>
          <w:b/>
          <w:i w:val="0"/>
          <w:iCs w:val="0"/>
          <w:color w:val="auto"/>
          <w:spacing w:val="0"/>
          <w:sz w:val="22"/>
          <w:szCs w:val="22"/>
        </w:rPr>
      </w:pPr>
      <w:r w:rsidRPr="00190A36">
        <w:rPr>
          <w:rFonts w:ascii="Arial" w:hAnsi="Arial" w:cs="Arial"/>
          <w:i w:val="0"/>
          <w:iCs w:val="0"/>
          <w:color w:val="auto"/>
          <w:spacing w:val="0"/>
          <w:sz w:val="22"/>
          <w:szCs w:val="22"/>
        </w:rPr>
        <w:t>the significant contraction of the economy as detailed under the heading ‘</w:t>
      </w:r>
      <w:r w:rsidR="00C9510B" w:rsidRPr="00190A36">
        <w:rPr>
          <w:rFonts w:ascii="Arial" w:hAnsi="Arial" w:cs="Arial"/>
          <w:i w:val="0"/>
          <w:iCs w:val="0"/>
          <w:color w:val="auto"/>
          <w:spacing w:val="0"/>
          <w:sz w:val="22"/>
          <w:szCs w:val="22"/>
        </w:rPr>
        <w:t>E</w:t>
      </w:r>
      <w:r w:rsidRPr="00190A36">
        <w:rPr>
          <w:rFonts w:ascii="Arial" w:hAnsi="Arial" w:cs="Arial"/>
          <w:i w:val="0"/>
          <w:iCs w:val="0"/>
          <w:color w:val="auto"/>
          <w:spacing w:val="0"/>
          <w:sz w:val="22"/>
          <w:szCs w:val="22"/>
        </w:rPr>
        <w:t xml:space="preserve">conomic considerations’ and in Appendix A to this </w:t>
      </w:r>
      <w:proofErr w:type="gramStart"/>
      <w:r w:rsidRPr="00190A36">
        <w:rPr>
          <w:rFonts w:ascii="Arial" w:hAnsi="Arial" w:cs="Arial"/>
          <w:i w:val="0"/>
          <w:iCs w:val="0"/>
          <w:color w:val="auto"/>
          <w:spacing w:val="0"/>
          <w:sz w:val="22"/>
          <w:szCs w:val="22"/>
        </w:rPr>
        <w:t>determination</w:t>
      </w:r>
      <w:proofErr w:type="gramEnd"/>
    </w:p>
    <w:p w14:paraId="36246CCD" w14:textId="77777777" w:rsidR="00E50AEC" w:rsidRPr="00190A36" w:rsidRDefault="00E50AEC" w:rsidP="00E50AEC">
      <w:pPr>
        <w:pStyle w:val="Subtitle"/>
        <w:numPr>
          <w:ilvl w:val="0"/>
          <w:numId w:val="19"/>
        </w:numPr>
        <w:spacing w:after="160" w:line="259" w:lineRule="auto"/>
        <w:rPr>
          <w:rFonts w:ascii="Arial" w:hAnsi="Arial" w:cs="Arial"/>
          <w:b/>
          <w:i w:val="0"/>
          <w:iCs w:val="0"/>
          <w:color w:val="auto"/>
          <w:spacing w:val="0"/>
          <w:sz w:val="22"/>
          <w:szCs w:val="22"/>
        </w:rPr>
      </w:pPr>
      <w:r w:rsidRPr="00190A36">
        <w:rPr>
          <w:rFonts w:ascii="Arial" w:hAnsi="Arial" w:cs="Arial"/>
          <w:i w:val="0"/>
          <w:iCs w:val="0"/>
          <w:color w:val="auto"/>
          <w:spacing w:val="0"/>
          <w:sz w:val="22"/>
          <w:szCs w:val="22"/>
        </w:rPr>
        <w:t>increasing unemployment and under</w:t>
      </w:r>
      <w:r w:rsidRPr="00190A36">
        <w:rPr>
          <w:rFonts w:ascii="Arial" w:hAnsi="Arial" w:cs="Arial"/>
          <w:i w:val="0"/>
          <w:iCs w:val="0"/>
          <w:color w:val="auto"/>
          <w:spacing w:val="0"/>
          <w:sz w:val="22"/>
          <w:szCs w:val="22"/>
        </w:rPr>
        <w:noBreakHyphen/>
        <w:t>employment resulting from the COVID-19 pandemic and actions to limit the spread of COVID-</w:t>
      </w:r>
      <w:proofErr w:type="gramStart"/>
      <w:r w:rsidRPr="00190A36">
        <w:rPr>
          <w:rFonts w:ascii="Arial" w:hAnsi="Arial" w:cs="Arial"/>
          <w:i w:val="0"/>
          <w:iCs w:val="0"/>
          <w:color w:val="auto"/>
          <w:spacing w:val="0"/>
          <w:sz w:val="22"/>
          <w:szCs w:val="22"/>
        </w:rPr>
        <w:t>19</w:t>
      </w:r>
      <w:proofErr w:type="gramEnd"/>
    </w:p>
    <w:p w14:paraId="2E6EC060" w14:textId="77777777" w:rsidR="00E50AEC" w:rsidRPr="00190A36" w:rsidRDefault="00E50AEC" w:rsidP="00E50AEC">
      <w:pPr>
        <w:pStyle w:val="Subtitle"/>
        <w:numPr>
          <w:ilvl w:val="0"/>
          <w:numId w:val="19"/>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community expectations and the value to the community of a member performing their role, functions and responsibilities during the COVID-19 </w:t>
      </w:r>
      <w:proofErr w:type="gramStart"/>
      <w:r w:rsidRPr="00190A36">
        <w:rPr>
          <w:rFonts w:ascii="Arial" w:hAnsi="Arial" w:cs="Arial"/>
          <w:i w:val="0"/>
          <w:iCs w:val="0"/>
          <w:color w:val="auto"/>
          <w:spacing w:val="0"/>
          <w:sz w:val="22"/>
          <w:szCs w:val="22"/>
        </w:rPr>
        <w:t>pandemic</w:t>
      </w:r>
      <w:proofErr w:type="gramEnd"/>
    </w:p>
    <w:p w14:paraId="69D6FCC9" w14:textId="50D32CF0" w:rsidR="00E50AEC" w:rsidRPr="00190A36" w:rsidRDefault="00E50AEC" w:rsidP="00E50AEC">
      <w:pPr>
        <w:pStyle w:val="Subtitle"/>
        <w:numPr>
          <w:ilvl w:val="0"/>
          <w:numId w:val="19"/>
        </w:numPr>
        <w:spacing w:after="160" w:line="259" w:lineRule="auto"/>
        <w:rPr>
          <w:rFonts w:ascii="Arial" w:hAnsi="Arial" w:cs="Arial"/>
          <w:b/>
          <w:i w:val="0"/>
          <w:iCs w:val="0"/>
          <w:color w:val="auto"/>
          <w:spacing w:val="0"/>
          <w:sz w:val="22"/>
          <w:szCs w:val="22"/>
        </w:rPr>
      </w:pPr>
      <w:r w:rsidRPr="00190A36">
        <w:rPr>
          <w:rFonts w:ascii="Arial" w:hAnsi="Arial" w:cs="Arial"/>
          <w:i w:val="0"/>
          <w:iCs w:val="0"/>
          <w:color w:val="auto"/>
          <w:spacing w:val="0"/>
          <w:sz w:val="22"/>
          <w:szCs w:val="22"/>
        </w:rPr>
        <w:t>the views of the Premier and Opposition that member</w:t>
      </w:r>
      <w:r w:rsidR="00C9510B" w:rsidRPr="00190A36">
        <w:rPr>
          <w:rFonts w:ascii="Arial" w:hAnsi="Arial" w:cs="Arial"/>
          <w:i w:val="0"/>
          <w:iCs w:val="0"/>
          <w:color w:val="auto"/>
          <w:spacing w:val="0"/>
          <w:sz w:val="22"/>
          <w:szCs w:val="22"/>
        </w:rPr>
        <w:t>s’</w:t>
      </w:r>
      <w:r w:rsidRPr="00190A36">
        <w:rPr>
          <w:rFonts w:ascii="Arial" w:hAnsi="Arial" w:cs="Arial"/>
          <w:i w:val="0"/>
          <w:iCs w:val="0"/>
          <w:color w:val="auto"/>
          <w:spacing w:val="0"/>
          <w:sz w:val="22"/>
          <w:szCs w:val="22"/>
        </w:rPr>
        <w:t xml:space="preserve"> salaries should be put on hold for the duration of the COVID-19 </w:t>
      </w:r>
      <w:proofErr w:type="gramStart"/>
      <w:r w:rsidRPr="00190A36">
        <w:rPr>
          <w:rFonts w:ascii="Arial" w:hAnsi="Arial" w:cs="Arial"/>
          <w:i w:val="0"/>
          <w:iCs w:val="0"/>
          <w:color w:val="auto"/>
          <w:spacing w:val="0"/>
          <w:sz w:val="22"/>
          <w:szCs w:val="22"/>
        </w:rPr>
        <w:t>pandemic</w:t>
      </w:r>
      <w:proofErr w:type="gramEnd"/>
    </w:p>
    <w:p w14:paraId="77ACAA05" w14:textId="6C24D6B2" w:rsidR="00E50AEC" w:rsidRPr="00190A36" w:rsidRDefault="00E50AEC" w:rsidP="00E50AEC">
      <w:pPr>
        <w:pStyle w:val="Subtitle"/>
        <w:numPr>
          <w:ilvl w:val="0"/>
          <w:numId w:val="19"/>
        </w:numPr>
        <w:spacing w:after="160" w:line="259" w:lineRule="auto"/>
        <w:rPr>
          <w:rFonts w:ascii="Arial" w:hAnsi="Arial" w:cs="Arial"/>
          <w:b/>
          <w:i w:val="0"/>
          <w:iCs w:val="0"/>
          <w:color w:val="auto"/>
          <w:spacing w:val="0"/>
          <w:sz w:val="22"/>
          <w:szCs w:val="22"/>
        </w:rPr>
      </w:pPr>
      <w:r w:rsidRPr="00190A36">
        <w:rPr>
          <w:rFonts w:ascii="Arial" w:hAnsi="Arial" w:cs="Arial"/>
          <w:i w:val="0"/>
          <w:iCs w:val="0"/>
          <w:color w:val="auto"/>
          <w:spacing w:val="0"/>
          <w:sz w:val="22"/>
          <w:szCs w:val="22"/>
        </w:rPr>
        <w:t>the requirements in the Act for a determination to be made for each year a salary increase is provided under the Certified Agreement</w:t>
      </w:r>
      <w:r w:rsidR="00076CAF" w:rsidRPr="00190A36">
        <w:rPr>
          <w:rFonts w:ascii="Arial" w:hAnsi="Arial" w:cs="Arial"/>
          <w:i w:val="0"/>
          <w:iCs w:val="0"/>
          <w:color w:val="auto"/>
          <w:spacing w:val="0"/>
          <w:sz w:val="22"/>
          <w:szCs w:val="22"/>
        </w:rPr>
        <w:t xml:space="preserve">, </w:t>
      </w:r>
      <w:r w:rsidRPr="00190A36">
        <w:rPr>
          <w:rFonts w:ascii="Arial" w:hAnsi="Arial" w:cs="Arial"/>
          <w:i w:val="0"/>
          <w:iCs w:val="0"/>
          <w:color w:val="auto"/>
          <w:spacing w:val="0"/>
          <w:sz w:val="22"/>
          <w:szCs w:val="22"/>
        </w:rPr>
        <w:t>meaning that a decision is required to be made</w:t>
      </w:r>
      <w:r w:rsidR="0076217A" w:rsidRPr="00190A36">
        <w:rPr>
          <w:rFonts w:ascii="Arial" w:hAnsi="Arial" w:cs="Arial"/>
          <w:i w:val="0"/>
          <w:iCs w:val="0"/>
          <w:color w:val="auto"/>
          <w:spacing w:val="0"/>
          <w:sz w:val="22"/>
          <w:szCs w:val="22"/>
        </w:rPr>
        <w:t xml:space="preserve"> </w:t>
      </w:r>
      <w:r w:rsidR="00076CAF" w:rsidRPr="00190A36">
        <w:rPr>
          <w:rFonts w:ascii="Arial" w:hAnsi="Arial" w:cs="Arial"/>
          <w:i w:val="0"/>
          <w:iCs w:val="0"/>
          <w:color w:val="auto"/>
          <w:spacing w:val="0"/>
          <w:sz w:val="22"/>
          <w:szCs w:val="22"/>
        </w:rPr>
        <w:t>with effect from 1 September 2019 to 1 September 2022, inclusive, without</w:t>
      </w:r>
      <w:r w:rsidRPr="00190A36">
        <w:rPr>
          <w:rFonts w:ascii="Arial" w:hAnsi="Arial" w:cs="Arial"/>
          <w:i w:val="0"/>
          <w:iCs w:val="0"/>
          <w:color w:val="auto"/>
          <w:spacing w:val="0"/>
          <w:sz w:val="22"/>
          <w:szCs w:val="22"/>
        </w:rPr>
        <w:t xml:space="preserve"> contemporary data and information</w:t>
      </w:r>
      <w:r w:rsidR="005110DF" w:rsidRPr="00190A36">
        <w:rPr>
          <w:rFonts w:ascii="Arial" w:hAnsi="Arial" w:cs="Arial"/>
          <w:i w:val="0"/>
          <w:iCs w:val="0"/>
          <w:color w:val="auto"/>
          <w:spacing w:val="0"/>
          <w:sz w:val="22"/>
          <w:szCs w:val="22"/>
        </w:rPr>
        <w:t xml:space="preserve"> being available for the later years.</w:t>
      </w:r>
    </w:p>
    <w:p w14:paraId="3EF07387" w14:textId="2DFEBFC3" w:rsidR="00E50AEC" w:rsidRPr="00EB58B1" w:rsidRDefault="00E50AEC" w:rsidP="00E50AEC">
      <w:pPr>
        <w:pStyle w:val="Subtitle"/>
        <w:numPr>
          <w:ilvl w:val="0"/>
          <w:numId w:val="0"/>
        </w:numPr>
        <w:spacing w:after="160" w:line="259" w:lineRule="auto"/>
        <w:rPr>
          <w:rFonts w:ascii="Arial" w:hAnsi="Arial" w:cs="Arial"/>
          <w:b/>
          <w:i w:val="0"/>
          <w:iCs w:val="0"/>
          <w:color w:val="auto"/>
          <w:spacing w:val="0"/>
          <w:sz w:val="22"/>
          <w:szCs w:val="22"/>
        </w:rPr>
      </w:pPr>
      <w:r w:rsidRPr="00190A36">
        <w:rPr>
          <w:rFonts w:ascii="Arial" w:hAnsi="Arial" w:cs="Arial"/>
          <w:i w:val="0"/>
          <w:iCs w:val="0"/>
          <w:color w:val="auto"/>
          <w:spacing w:val="0"/>
          <w:sz w:val="22"/>
          <w:szCs w:val="22"/>
        </w:rPr>
        <w:t xml:space="preserve">The Tribunal members </w:t>
      </w:r>
      <w:r w:rsidR="00467C91" w:rsidRPr="00190A36">
        <w:rPr>
          <w:rFonts w:ascii="Arial" w:hAnsi="Arial" w:cs="Arial"/>
          <w:i w:val="0"/>
          <w:iCs w:val="0"/>
          <w:color w:val="auto"/>
          <w:spacing w:val="0"/>
          <w:sz w:val="22"/>
          <w:szCs w:val="22"/>
        </w:rPr>
        <w:t xml:space="preserve">(by majority with dissent from the chair) </w:t>
      </w:r>
      <w:r w:rsidRPr="00190A36">
        <w:rPr>
          <w:rFonts w:ascii="Arial" w:hAnsi="Arial" w:cs="Arial"/>
          <w:i w:val="0"/>
          <w:iCs w:val="0"/>
          <w:color w:val="auto"/>
          <w:spacing w:val="0"/>
          <w:sz w:val="22"/>
          <w:szCs w:val="22"/>
        </w:rPr>
        <w:t xml:space="preserve">have reached a </w:t>
      </w:r>
      <w:r w:rsidR="005110DF" w:rsidRPr="00190A36">
        <w:rPr>
          <w:rFonts w:ascii="Arial" w:hAnsi="Arial" w:cs="Arial"/>
          <w:i w:val="0"/>
          <w:iCs w:val="0"/>
          <w:color w:val="auto"/>
          <w:spacing w:val="0"/>
          <w:sz w:val="22"/>
          <w:szCs w:val="22"/>
        </w:rPr>
        <w:t xml:space="preserve">decision </w:t>
      </w:r>
      <w:r w:rsidRPr="00190A36">
        <w:rPr>
          <w:rFonts w:ascii="Arial" w:hAnsi="Arial" w:cs="Arial"/>
          <w:i w:val="0"/>
          <w:iCs w:val="0"/>
          <w:color w:val="auto"/>
          <w:spacing w:val="0"/>
          <w:sz w:val="22"/>
          <w:szCs w:val="22"/>
        </w:rPr>
        <w:t>on the salary rates of members and have decided to provide a 0% increase to the base and additional salary levels of members commencing on each of the dates below:</w:t>
      </w:r>
      <w:r w:rsidRPr="00EB58B1">
        <w:rPr>
          <w:rFonts w:ascii="Arial" w:hAnsi="Arial" w:cs="Arial"/>
          <w:i w:val="0"/>
          <w:iCs w:val="0"/>
          <w:color w:val="auto"/>
          <w:spacing w:val="0"/>
          <w:sz w:val="22"/>
          <w:szCs w:val="22"/>
        </w:rPr>
        <w:t xml:space="preserve"> </w:t>
      </w:r>
    </w:p>
    <w:p w14:paraId="298CD836" w14:textId="77777777" w:rsidR="00E50AEC" w:rsidRPr="00EB58B1" w:rsidRDefault="00E50AEC" w:rsidP="00E50AEC">
      <w:pPr>
        <w:pStyle w:val="Subtitle"/>
        <w:numPr>
          <w:ilvl w:val="0"/>
          <w:numId w:val="15"/>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1 September 2019 </w:t>
      </w:r>
    </w:p>
    <w:p w14:paraId="1B4F651D" w14:textId="77777777" w:rsidR="00E50AEC" w:rsidRPr="00EB58B1" w:rsidRDefault="00E50AEC" w:rsidP="00E50AEC">
      <w:pPr>
        <w:pStyle w:val="Subtitle"/>
        <w:numPr>
          <w:ilvl w:val="0"/>
          <w:numId w:val="15"/>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1 September 2020 </w:t>
      </w:r>
    </w:p>
    <w:p w14:paraId="4FE6C6AD" w14:textId="77777777" w:rsidR="00E50AEC" w:rsidRPr="00EB58B1" w:rsidRDefault="00E50AEC" w:rsidP="00E50AEC">
      <w:pPr>
        <w:pStyle w:val="Subtitle"/>
        <w:numPr>
          <w:ilvl w:val="0"/>
          <w:numId w:val="15"/>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1 September 2021 </w:t>
      </w:r>
    </w:p>
    <w:p w14:paraId="6360BD14" w14:textId="77777777" w:rsidR="00E50AEC" w:rsidRPr="00EB58B1" w:rsidRDefault="00E50AEC" w:rsidP="00E50AEC">
      <w:pPr>
        <w:pStyle w:val="Subtitle"/>
        <w:numPr>
          <w:ilvl w:val="0"/>
          <w:numId w:val="15"/>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1 September 2022.</w:t>
      </w:r>
    </w:p>
    <w:p w14:paraId="11428721" w14:textId="41665439" w:rsidR="00E50AEC" w:rsidRPr="007706F5" w:rsidRDefault="00E50AEC" w:rsidP="00E50AEC">
      <w:pPr>
        <w:pStyle w:val="Subtitle"/>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The Tribunal members are of the view that it is difficult to assess </w:t>
      </w:r>
      <w:r w:rsidR="000E40F9" w:rsidRPr="00EB58B1">
        <w:rPr>
          <w:rFonts w:ascii="Arial" w:hAnsi="Arial" w:cs="Arial"/>
          <w:i w:val="0"/>
          <w:iCs w:val="0"/>
          <w:color w:val="auto"/>
          <w:spacing w:val="0"/>
          <w:sz w:val="22"/>
          <w:szCs w:val="22"/>
        </w:rPr>
        <w:t xml:space="preserve">adequately </w:t>
      </w:r>
      <w:r w:rsidRPr="00EB58B1">
        <w:rPr>
          <w:rFonts w:ascii="Arial" w:hAnsi="Arial" w:cs="Arial"/>
          <w:i w:val="0"/>
          <w:iCs w:val="0"/>
          <w:color w:val="auto"/>
          <w:spacing w:val="0"/>
          <w:sz w:val="22"/>
          <w:szCs w:val="22"/>
        </w:rPr>
        <w:t>the long</w:t>
      </w:r>
      <w:r w:rsidRPr="00EB58B1">
        <w:rPr>
          <w:rFonts w:ascii="Arial" w:hAnsi="Arial" w:cs="Arial"/>
          <w:i w:val="0"/>
          <w:iCs w:val="0"/>
          <w:color w:val="auto"/>
          <w:spacing w:val="0"/>
          <w:sz w:val="22"/>
          <w:szCs w:val="22"/>
        </w:rPr>
        <w:noBreakHyphen/>
        <w:t>term impacts of COVID-19 on the economy in advance of 2021 and 2022, particularly as economic forecast data and projections for these years is unav</w:t>
      </w:r>
      <w:r w:rsidR="00C83750">
        <w:rPr>
          <w:rFonts w:ascii="Arial" w:hAnsi="Arial" w:cs="Arial"/>
          <w:i w:val="0"/>
          <w:iCs w:val="0"/>
          <w:color w:val="auto"/>
          <w:spacing w:val="0"/>
          <w:sz w:val="22"/>
          <w:szCs w:val="22"/>
        </w:rPr>
        <w:t xml:space="preserve">ailable. As such, the Tribunal </w:t>
      </w:r>
      <w:r w:rsidRPr="00EB58B1">
        <w:rPr>
          <w:rFonts w:ascii="Arial" w:hAnsi="Arial" w:cs="Arial"/>
          <w:i w:val="0"/>
          <w:iCs w:val="0"/>
          <w:color w:val="auto"/>
          <w:spacing w:val="0"/>
          <w:sz w:val="22"/>
          <w:szCs w:val="22"/>
        </w:rPr>
        <w:t xml:space="preserve">resolved to write to the Premier seeking that the Act be amended to remove the limitation requiring the determination to </w:t>
      </w:r>
      <w:r w:rsidRPr="00EB58B1">
        <w:rPr>
          <w:rFonts w:ascii="Arial" w:hAnsi="Arial" w:cs="Arial"/>
          <w:i w:val="0"/>
          <w:iCs w:val="0"/>
          <w:color w:val="auto"/>
          <w:spacing w:val="0"/>
          <w:sz w:val="22"/>
          <w:szCs w:val="22"/>
        </w:rPr>
        <w:lastRenderedPageBreak/>
        <w:t>cover the term of the Certified Agreement. This would enable the Tribunal to re-visit the salary rates of members for 2021 and 2022 when more current information is available to inform a Tribunal decision.</w:t>
      </w:r>
      <w:r w:rsidRPr="007706F5">
        <w:rPr>
          <w:rFonts w:ascii="Arial" w:hAnsi="Arial" w:cs="Arial"/>
          <w:i w:val="0"/>
          <w:iCs w:val="0"/>
          <w:color w:val="auto"/>
          <w:spacing w:val="0"/>
          <w:sz w:val="22"/>
          <w:szCs w:val="22"/>
        </w:rPr>
        <w:t xml:space="preserve">   </w:t>
      </w:r>
    </w:p>
    <w:bookmarkEnd w:id="1"/>
    <w:p w14:paraId="1D10F631" w14:textId="3401D80C" w:rsidR="006E1154" w:rsidRPr="00190A36" w:rsidRDefault="000E02EA" w:rsidP="00695E11">
      <w:pPr>
        <w:pStyle w:val="Subtitle"/>
        <w:spacing w:after="160" w:line="259" w:lineRule="auto"/>
        <w:rPr>
          <w:rFonts w:ascii="Arial" w:hAnsi="Arial" w:cs="Arial"/>
          <w:i w:val="0"/>
          <w:iCs w:val="0"/>
          <w:color w:val="auto"/>
          <w:spacing w:val="0"/>
          <w:sz w:val="22"/>
          <w:szCs w:val="22"/>
          <w:u w:val="single"/>
        </w:rPr>
      </w:pPr>
      <w:r w:rsidRPr="00190A36">
        <w:rPr>
          <w:rFonts w:ascii="Arial" w:hAnsi="Arial" w:cs="Arial"/>
          <w:i w:val="0"/>
          <w:iCs w:val="0"/>
          <w:color w:val="auto"/>
          <w:spacing w:val="0"/>
          <w:sz w:val="22"/>
          <w:szCs w:val="22"/>
          <w:u w:val="single"/>
        </w:rPr>
        <w:t xml:space="preserve">Dissenting </w:t>
      </w:r>
      <w:r w:rsidR="000E1F60" w:rsidRPr="00190A36">
        <w:rPr>
          <w:rFonts w:ascii="Arial" w:hAnsi="Arial" w:cs="Arial"/>
          <w:i w:val="0"/>
          <w:iCs w:val="0"/>
          <w:color w:val="auto"/>
          <w:spacing w:val="0"/>
          <w:sz w:val="22"/>
          <w:szCs w:val="22"/>
          <w:u w:val="single"/>
        </w:rPr>
        <w:t>view</w:t>
      </w:r>
      <w:r w:rsidRPr="00190A36">
        <w:rPr>
          <w:rFonts w:ascii="Arial" w:hAnsi="Arial" w:cs="Arial"/>
          <w:i w:val="0"/>
          <w:iCs w:val="0"/>
          <w:color w:val="auto"/>
          <w:spacing w:val="0"/>
          <w:sz w:val="22"/>
          <w:szCs w:val="22"/>
          <w:u w:val="single"/>
        </w:rPr>
        <w:t xml:space="preserve"> (</w:t>
      </w:r>
      <w:r w:rsidR="000C600B" w:rsidRPr="00190A36">
        <w:rPr>
          <w:rFonts w:ascii="Arial" w:hAnsi="Arial" w:cs="Arial"/>
          <w:i w:val="0"/>
          <w:iCs w:val="0"/>
          <w:color w:val="auto"/>
          <w:spacing w:val="0"/>
          <w:sz w:val="22"/>
          <w:szCs w:val="22"/>
          <w:u w:val="single"/>
        </w:rPr>
        <w:t xml:space="preserve">Tribunal </w:t>
      </w:r>
      <w:r w:rsidR="00151455" w:rsidRPr="00190A36">
        <w:rPr>
          <w:rFonts w:ascii="Arial" w:hAnsi="Arial" w:cs="Arial"/>
          <w:i w:val="0"/>
          <w:iCs w:val="0"/>
          <w:color w:val="auto"/>
          <w:spacing w:val="0"/>
          <w:sz w:val="22"/>
          <w:szCs w:val="22"/>
          <w:u w:val="single"/>
        </w:rPr>
        <w:t>C</w:t>
      </w:r>
      <w:r w:rsidRPr="00190A36">
        <w:rPr>
          <w:rFonts w:ascii="Arial" w:hAnsi="Arial" w:cs="Arial"/>
          <w:i w:val="0"/>
          <w:iCs w:val="0"/>
          <w:color w:val="auto"/>
          <w:spacing w:val="0"/>
          <w:sz w:val="22"/>
          <w:szCs w:val="22"/>
          <w:u w:val="single"/>
        </w:rPr>
        <w:t>hai</w:t>
      </w:r>
      <w:r w:rsidR="00151455" w:rsidRPr="00190A36">
        <w:rPr>
          <w:rFonts w:ascii="Arial" w:hAnsi="Arial" w:cs="Arial"/>
          <w:i w:val="0"/>
          <w:iCs w:val="0"/>
          <w:color w:val="auto"/>
          <w:spacing w:val="0"/>
          <w:sz w:val="22"/>
          <w:szCs w:val="22"/>
          <w:u w:val="single"/>
        </w:rPr>
        <w:t>r</w:t>
      </w:r>
      <w:r w:rsidRPr="00190A36">
        <w:rPr>
          <w:rFonts w:ascii="Arial" w:hAnsi="Arial" w:cs="Arial"/>
          <w:i w:val="0"/>
          <w:iCs w:val="0"/>
          <w:color w:val="auto"/>
          <w:spacing w:val="0"/>
          <w:sz w:val="22"/>
          <w:szCs w:val="22"/>
          <w:u w:val="single"/>
        </w:rPr>
        <w:t>)</w:t>
      </w:r>
    </w:p>
    <w:p w14:paraId="5DDB314B" w14:textId="7E4058F7" w:rsidR="000E40F9" w:rsidRPr="00190A36" w:rsidRDefault="000E40F9" w:rsidP="00695E11">
      <w:pPr>
        <w:pStyle w:val="Subtitle"/>
        <w:numPr>
          <w:ilvl w:val="0"/>
          <w:numId w:val="0"/>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The Tribunal chair is of the view that despite the current unique circumstances, it is unreasonable to impose a salary ‘freeze’ on members</w:t>
      </w:r>
      <w:r w:rsidR="0076217A" w:rsidRPr="00190A36">
        <w:rPr>
          <w:rFonts w:ascii="Arial" w:hAnsi="Arial" w:cs="Arial"/>
          <w:i w:val="0"/>
          <w:iCs w:val="0"/>
          <w:color w:val="auto"/>
          <w:spacing w:val="0"/>
          <w:sz w:val="22"/>
          <w:szCs w:val="22"/>
        </w:rPr>
        <w:t xml:space="preserve"> </w:t>
      </w:r>
      <w:r w:rsidRPr="00190A36">
        <w:rPr>
          <w:rFonts w:ascii="Arial" w:hAnsi="Arial" w:cs="Arial"/>
          <w:i w:val="0"/>
          <w:iCs w:val="0"/>
          <w:color w:val="auto"/>
          <w:spacing w:val="0"/>
          <w:sz w:val="22"/>
          <w:szCs w:val="22"/>
        </w:rPr>
        <w:t>for a period of at least five years based upon the following facts:</w:t>
      </w:r>
    </w:p>
    <w:p w14:paraId="7297DAD2" w14:textId="3266EC95" w:rsidR="000E1F60" w:rsidRPr="00190A36" w:rsidRDefault="009C1091" w:rsidP="00EB58B1">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members</w:t>
      </w:r>
      <w:r w:rsidR="00471E08" w:rsidRPr="00190A36">
        <w:rPr>
          <w:rFonts w:ascii="Arial" w:hAnsi="Arial" w:cs="Arial"/>
          <w:i w:val="0"/>
          <w:iCs w:val="0"/>
          <w:color w:val="auto"/>
          <w:spacing w:val="0"/>
          <w:sz w:val="22"/>
          <w:szCs w:val="22"/>
        </w:rPr>
        <w:t xml:space="preserve"> have not had a</w:t>
      </w:r>
      <w:r w:rsidRPr="00190A36">
        <w:rPr>
          <w:rFonts w:ascii="Arial" w:hAnsi="Arial" w:cs="Arial"/>
          <w:i w:val="0"/>
          <w:iCs w:val="0"/>
          <w:color w:val="auto"/>
          <w:spacing w:val="0"/>
          <w:sz w:val="22"/>
          <w:szCs w:val="22"/>
        </w:rPr>
        <w:t xml:space="preserve"> salary</w:t>
      </w:r>
      <w:r w:rsidR="00471E08" w:rsidRPr="00190A36">
        <w:rPr>
          <w:rFonts w:ascii="Arial" w:hAnsi="Arial" w:cs="Arial"/>
          <w:i w:val="0"/>
          <w:iCs w:val="0"/>
          <w:color w:val="auto"/>
          <w:spacing w:val="0"/>
          <w:sz w:val="22"/>
          <w:szCs w:val="22"/>
        </w:rPr>
        <w:t xml:space="preserve"> increase since 1 September 2017</w:t>
      </w:r>
      <w:r w:rsidR="000E40F9" w:rsidRPr="00190A36">
        <w:rPr>
          <w:rFonts w:ascii="Arial" w:hAnsi="Arial" w:cs="Arial"/>
          <w:i w:val="0"/>
          <w:iCs w:val="0"/>
          <w:color w:val="auto"/>
          <w:spacing w:val="0"/>
          <w:sz w:val="22"/>
          <w:szCs w:val="22"/>
        </w:rPr>
        <w:t xml:space="preserve"> and by the majority decision, without legislative change, any salary increase for members would not be considered until after 1 September </w:t>
      </w:r>
      <w:proofErr w:type="gramStart"/>
      <w:r w:rsidR="000E40F9" w:rsidRPr="00190A36">
        <w:rPr>
          <w:rFonts w:ascii="Arial" w:hAnsi="Arial" w:cs="Arial"/>
          <w:i w:val="0"/>
          <w:iCs w:val="0"/>
          <w:color w:val="auto"/>
          <w:spacing w:val="0"/>
          <w:sz w:val="22"/>
          <w:szCs w:val="22"/>
        </w:rPr>
        <w:t>2022</w:t>
      </w:r>
      <w:proofErr w:type="gramEnd"/>
    </w:p>
    <w:p w14:paraId="48740785" w14:textId="71E14A3F" w:rsidR="000E1F60" w:rsidRPr="00190A36" w:rsidRDefault="00471E08" w:rsidP="00EB58B1">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salary rates </w:t>
      </w:r>
      <w:r w:rsidR="0078767A" w:rsidRPr="00190A36">
        <w:rPr>
          <w:rFonts w:ascii="Arial" w:hAnsi="Arial" w:cs="Arial"/>
          <w:i w:val="0"/>
          <w:iCs w:val="0"/>
          <w:color w:val="auto"/>
          <w:spacing w:val="0"/>
          <w:sz w:val="22"/>
          <w:szCs w:val="22"/>
        </w:rPr>
        <w:t xml:space="preserve">for Queensland members </w:t>
      </w:r>
      <w:r w:rsidRPr="00190A36">
        <w:rPr>
          <w:rFonts w:ascii="Arial" w:hAnsi="Arial" w:cs="Arial"/>
          <w:i w:val="0"/>
          <w:iCs w:val="0"/>
          <w:color w:val="auto"/>
          <w:spacing w:val="0"/>
          <w:sz w:val="22"/>
          <w:szCs w:val="22"/>
        </w:rPr>
        <w:t>are falling behind that of other jurisdictions</w:t>
      </w:r>
      <w:r w:rsidR="00521B2E" w:rsidRPr="00190A36">
        <w:rPr>
          <w:rFonts w:ascii="Arial" w:hAnsi="Arial" w:cs="Arial"/>
          <w:i w:val="0"/>
          <w:iCs w:val="0"/>
          <w:color w:val="auto"/>
          <w:spacing w:val="0"/>
          <w:sz w:val="22"/>
          <w:szCs w:val="22"/>
        </w:rPr>
        <w:t xml:space="preserve"> and members in the majority of other jurisdictions have received an increase in salary rate since </w:t>
      </w:r>
      <w:proofErr w:type="gramStart"/>
      <w:r w:rsidR="00521B2E" w:rsidRPr="00190A36">
        <w:rPr>
          <w:rFonts w:ascii="Arial" w:hAnsi="Arial" w:cs="Arial"/>
          <w:i w:val="0"/>
          <w:iCs w:val="0"/>
          <w:color w:val="auto"/>
          <w:spacing w:val="0"/>
          <w:sz w:val="22"/>
          <w:szCs w:val="22"/>
        </w:rPr>
        <w:t>2017</w:t>
      </w:r>
      <w:proofErr w:type="gramEnd"/>
    </w:p>
    <w:p w14:paraId="449EF503" w14:textId="318EDA02" w:rsidR="000E1F60" w:rsidRPr="00190A36" w:rsidRDefault="000E1F60" w:rsidP="00EB58B1">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the</w:t>
      </w:r>
      <w:r w:rsidR="00471E08" w:rsidRPr="00190A36">
        <w:rPr>
          <w:rFonts w:ascii="Arial" w:hAnsi="Arial" w:cs="Arial"/>
          <w:i w:val="0"/>
          <w:iCs w:val="0"/>
          <w:color w:val="auto"/>
          <w:spacing w:val="0"/>
          <w:sz w:val="22"/>
          <w:szCs w:val="22"/>
        </w:rPr>
        <w:t xml:space="preserve"> public service </w:t>
      </w:r>
      <w:r w:rsidR="001931DA" w:rsidRPr="00190A36">
        <w:rPr>
          <w:rFonts w:ascii="Arial" w:hAnsi="Arial" w:cs="Arial"/>
          <w:i w:val="0"/>
          <w:iCs w:val="0"/>
          <w:color w:val="auto"/>
          <w:spacing w:val="0"/>
          <w:sz w:val="22"/>
          <w:szCs w:val="22"/>
        </w:rPr>
        <w:t xml:space="preserve">employees </w:t>
      </w:r>
      <w:r w:rsidR="00471E08" w:rsidRPr="00190A36">
        <w:rPr>
          <w:rFonts w:ascii="Arial" w:hAnsi="Arial" w:cs="Arial"/>
          <w:i w:val="0"/>
          <w:iCs w:val="0"/>
          <w:color w:val="auto"/>
          <w:spacing w:val="0"/>
          <w:sz w:val="22"/>
          <w:szCs w:val="22"/>
        </w:rPr>
        <w:t>are receiving salary increases</w:t>
      </w:r>
      <w:r w:rsidR="00163E28" w:rsidRPr="00190A36">
        <w:rPr>
          <w:rFonts w:ascii="Arial" w:hAnsi="Arial" w:cs="Arial"/>
          <w:i w:val="0"/>
          <w:iCs w:val="0"/>
          <w:color w:val="auto"/>
          <w:spacing w:val="0"/>
          <w:sz w:val="22"/>
          <w:szCs w:val="22"/>
        </w:rPr>
        <w:t xml:space="preserve">, albeit deferred, </w:t>
      </w:r>
      <w:r w:rsidR="00471E08" w:rsidRPr="00190A36">
        <w:rPr>
          <w:rFonts w:ascii="Arial" w:hAnsi="Arial" w:cs="Arial"/>
          <w:i w:val="0"/>
          <w:iCs w:val="0"/>
          <w:color w:val="auto"/>
          <w:spacing w:val="0"/>
          <w:sz w:val="22"/>
          <w:szCs w:val="22"/>
        </w:rPr>
        <w:t xml:space="preserve">during this </w:t>
      </w:r>
      <w:proofErr w:type="gramStart"/>
      <w:r w:rsidR="00471E08" w:rsidRPr="00190A36">
        <w:rPr>
          <w:rFonts w:ascii="Arial" w:hAnsi="Arial" w:cs="Arial"/>
          <w:i w:val="0"/>
          <w:iCs w:val="0"/>
          <w:color w:val="auto"/>
          <w:spacing w:val="0"/>
          <w:sz w:val="22"/>
          <w:szCs w:val="22"/>
        </w:rPr>
        <w:t>period</w:t>
      </w:r>
      <w:proofErr w:type="gramEnd"/>
    </w:p>
    <w:p w14:paraId="360BD53A" w14:textId="45CA0D6A" w:rsidR="000E1F60" w:rsidRPr="00190A36" w:rsidRDefault="000E1F60" w:rsidP="00EB58B1">
      <w:pPr>
        <w:pStyle w:val="Subtitle"/>
        <w:numPr>
          <w:ilvl w:val="0"/>
          <w:numId w:val="15"/>
        </w:numPr>
        <w:spacing w:after="160" w:line="259" w:lineRule="auto"/>
        <w:rPr>
          <w:rFonts w:ascii="Arial" w:hAnsi="Arial" w:cs="Arial"/>
          <w:i w:val="0"/>
          <w:iCs w:val="0"/>
          <w:color w:val="auto"/>
          <w:spacing w:val="0"/>
          <w:sz w:val="22"/>
          <w:szCs w:val="22"/>
        </w:rPr>
      </w:pPr>
      <w:proofErr w:type="gramStart"/>
      <w:r w:rsidRPr="00190A36">
        <w:rPr>
          <w:rFonts w:ascii="Arial" w:hAnsi="Arial" w:cs="Arial"/>
          <w:i w:val="0"/>
          <w:iCs w:val="0"/>
          <w:color w:val="auto"/>
          <w:spacing w:val="0"/>
          <w:sz w:val="22"/>
          <w:szCs w:val="22"/>
        </w:rPr>
        <w:t>all of</w:t>
      </w:r>
      <w:proofErr w:type="gramEnd"/>
      <w:r w:rsidRPr="00190A36">
        <w:rPr>
          <w:rFonts w:ascii="Arial" w:hAnsi="Arial" w:cs="Arial"/>
          <w:i w:val="0"/>
          <w:iCs w:val="0"/>
          <w:color w:val="auto"/>
          <w:spacing w:val="0"/>
          <w:sz w:val="22"/>
          <w:szCs w:val="22"/>
        </w:rPr>
        <w:t xml:space="preserve"> the factors referred to under the headings ‘</w:t>
      </w:r>
      <w:r w:rsidR="001931DA" w:rsidRPr="00190A36">
        <w:rPr>
          <w:rFonts w:ascii="Arial" w:hAnsi="Arial" w:cs="Arial"/>
          <w:i w:val="0"/>
          <w:iCs w:val="0"/>
          <w:color w:val="auto"/>
          <w:spacing w:val="0"/>
          <w:sz w:val="22"/>
          <w:szCs w:val="22"/>
        </w:rPr>
        <w:t xml:space="preserve">Public </w:t>
      </w:r>
      <w:r w:rsidRPr="00190A36">
        <w:rPr>
          <w:rFonts w:ascii="Arial" w:hAnsi="Arial" w:cs="Arial"/>
          <w:i w:val="0"/>
          <w:iCs w:val="0"/>
          <w:color w:val="auto"/>
          <w:spacing w:val="0"/>
          <w:sz w:val="22"/>
          <w:szCs w:val="22"/>
        </w:rPr>
        <w:t xml:space="preserve">service </w:t>
      </w:r>
      <w:r w:rsidR="008122FE" w:rsidRPr="00190A36">
        <w:rPr>
          <w:rFonts w:ascii="Arial" w:hAnsi="Arial" w:cs="Arial"/>
          <w:i w:val="0"/>
          <w:iCs w:val="0"/>
          <w:color w:val="auto"/>
          <w:spacing w:val="0"/>
          <w:sz w:val="22"/>
          <w:szCs w:val="22"/>
        </w:rPr>
        <w:t xml:space="preserve">salary </w:t>
      </w:r>
      <w:r w:rsidRPr="00190A36">
        <w:rPr>
          <w:rFonts w:ascii="Arial" w:hAnsi="Arial" w:cs="Arial"/>
          <w:i w:val="0"/>
          <w:iCs w:val="0"/>
          <w:color w:val="auto"/>
          <w:spacing w:val="0"/>
          <w:sz w:val="22"/>
          <w:szCs w:val="22"/>
        </w:rPr>
        <w:t xml:space="preserve">considerations’ </w:t>
      </w:r>
      <w:r w:rsidR="00151455" w:rsidRPr="00190A36">
        <w:rPr>
          <w:rFonts w:ascii="Arial" w:hAnsi="Arial" w:cs="Arial"/>
          <w:i w:val="0"/>
          <w:iCs w:val="0"/>
          <w:color w:val="auto"/>
          <w:spacing w:val="0"/>
          <w:sz w:val="22"/>
          <w:szCs w:val="22"/>
        </w:rPr>
        <w:t xml:space="preserve">and </w:t>
      </w:r>
      <w:r w:rsidRPr="00190A36">
        <w:rPr>
          <w:rFonts w:ascii="Arial" w:hAnsi="Arial" w:cs="Arial"/>
          <w:i w:val="0"/>
          <w:iCs w:val="0"/>
          <w:color w:val="auto"/>
          <w:spacing w:val="0"/>
          <w:sz w:val="22"/>
          <w:szCs w:val="22"/>
        </w:rPr>
        <w:t>‘</w:t>
      </w:r>
      <w:r w:rsidR="001931DA" w:rsidRPr="00190A36">
        <w:rPr>
          <w:rFonts w:ascii="Arial" w:hAnsi="Arial" w:cs="Arial"/>
          <w:i w:val="0"/>
          <w:iCs w:val="0"/>
          <w:color w:val="auto"/>
          <w:spacing w:val="0"/>
          <w:sz w:val="22"/>
          <w:szCs w:val="22"/>
        </w:rPr>
        <w:t>E</w:t>
      </w:r>
      <w:r w:rsidRPr="00190A36">
        <w:rPr>
          <w:rFonts w:ascii="Arial" w:hAnsi="Arial" w:cs="Arial"/>
          <w:i w:val="0"/>
          <w:iCs w:val="0"/>
          <w:color w:val="auto"/>
          <w:spacing w:val="0"/>
          <w:sz w:val="22"/>
          <w:szCs w:val="22"/>
        </w:rPr>
        <w:t xml:space="preserve">conomic considerations’ </w:t>
      </w:r>
      <w:r w:rsidR="008122FE" w:rsidRPr="00190A36">
        <w:rPr>
          <w:rFonts w:ascii="Arial" w:hAnsi="Arial" w:cs="Arial"/>
          <w:i w:val="0"/>
          <w:iCs w:val="0"/>
          <w:color w:val="auto"/>
          <w:spacing w:val="0"/>
          <w:sz w:val="22"/>
          <w:szCs w:val="22"/>
        </w:rPr>
        <w:t>set out herein</w:t>
      </w:r>
      <w:r w:rsidR="0078767A" w:rsidRPr="00190A36">
        <w:rPr>
          <w:rFonts w:ascii="Arial" w:hAnsi="Arial" w:cs="Arial"/>
          <w:i w:val="0"/>
          <w:iCs w:val="0"/>
          <w:color w:val="auto"/>
          <w:spacing w:val="0"/>
          <w:sz w:val="22"/>
          <w:szCs w:val="22"/>
        </w:rPr>
        <w:t>,</w:t>
      </w:r>
      <w:r w:rsidR="008122FE" w:rsidRPr="00190A36">
        <w:rPr>
          <w:rFonts w:ascii="Arial" w:hAnsi="Arial" w:cs="Arial"/>
          <w:i w:val="0"/>
          <w:iCs w:val="0"/>
          <w:color w:val="auto"/>
          <w:spacing w:val="0"/>
          <w:sz w:val="22"/>
          <w:szCs w:val="22"/>
        </w:rPr>
        <w:t xml:space="preserve"> </w:t>
      </w:r>
      <w:r w:rsidR="001931DA" w:rsidRPr="00190A36">
        <w:rPr>
          <w:rFonts w:ascii="Arial" w:hAnsi="Arial" w:cs="Arial"/>
          <w:i w:val="0"/>
          <w:iCs w:val="0"/>
          <w:color w:val="auto"/>
          <w:spacing w:val="0"/>
          <w:sz w:val="22"/>
          <w:szCs w:val="22"/>
        </w:rPr>
        <w:t xml:space="preserve">with particular reference to </w:t>
      </w:r>
      <w:r w:rsidR="008122FE" w:rsidRPr="00190A36">
        <w:rPr>
          <w:rFonts w:ascii="Arial" w:hAnsi="Arial" w:cs="Arial"/>
          <w:i w:val="0"/>
          <w:iCs w:val="0"/>
          <w:color w:val="auto"/>
          <w:spacing w:val="0"/>
          <w:sz w:val="22"/>
          <w:szCs w:val="22"/>
        </w:rPr>
        <w:t>the Queensland Industrial Relations Commission and the recent Fair Work Commission decisions</w:t>
      </w:r>
      <w:r w:rsidR="0078767A" w:rsidRPr="00190A36">
        <w:rPr>
          <w:rFonts w:ascii="Arial" w:hAnsi="Arial" w:cs="Arial"/>
          <w:i w:val="0"/>
          <w:iCs w:val="0"/>
          <w:color w:val="auto"/>
          <w:spacing w:val="0"/>
          <w:sz w:val="22"/>
          <w:szCs w:val="22"/>
        </w:rPr>
        <w:t>,</w:t>
      </w:r>
      <w:r w:rsidR="008122FE" w:rsidRPr="00190A36">
        <w:rPr>
          <w:rFonts w:ascii="Arial" w:hAnsi="Arial" w:cs="Arial"/>
          <w:i w:val="0"/>
          <w:iCs w:val="0"/>
          <w:color w:val="auto"/>
          <w:spacing w:val="0"/>
          <w:sz w:val="22"/>
          <w:szCs w:val="22"/>
        </w:rPr>
        <w:t xml:space="preserve"> which had available to them a myriad of economic considerations including the likely impact of the COVID-19 pandemic, but notwithstanding such indications, chose to allow salary increases. </w:t>
      </w:r>
    </w:p>
    <w:p w14:paraId="07A0262E" w14:textId="73F70486" w:rsidR="001931DA" w:rsidRPr="00190A36" w:rsidRDefault="00471E08" w:rsidP="006F4133">
      <w:pPr>
        <w:pStyle w:val="Subtitle"/>
        <w:numPr>
          <w:ilvl w:val="0"/>
          <w:numId w:val="0"/>
        </w:numPr>
        <w:spacing w:before="240"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The Tribunal chair would have </w:t>
      </w:r>
      <w:r w:rsidR="008122FE" w:rsidRPr="00190A36">
        <w:rPr>
          <w:rFonts w:ascii="Arial" w:hAnsi="Arial" w:cs="Arial"/>
          <w:i w:val="0"/>
          <w:iCs w:val="0"/>
          <w:color w:val="auto"/>
          <w:spacing w:val="0"/>
          <w:sz w:val="22"/>
          <w:szCs w:val="22"/>
        </w:rPr>
        <w:t xml:space="preserve">determined </w:t>
      </w:r>
      <w:r w:rsidR="001931DA" w:rsidRPr="00190A36">
        <w:rPr>
          <w:rFonts w:ascii="Arial" w:hAnsi="Arial" w:cs="Arial"/>
          <w:i w:val="0"/>
          <w:iCs w:val="0"/>
          <w:color w:val="auto"/>
          <w:spacing w:val="0"/>
          <w:sz w:val="22"/>
          <w:szCs w:val="22"/>
        </w:rPr>
        <w:t>salary increases as follows:</w:t>
      </w:r>
    </w:p>
    <w:p w14:paraId="72118692" w14:textId="61B4902D" w:rsidR="001931DA" w:rsidRPr="00190A36" w:rsidRDefault="007F0FAA" w:rsidP="001931DA">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a </w:t>
      </w:r>
      <w:r w:rsidR="00B9182D" w:rsidRPr="00190A36">
        <w:rPr>
          <w:rFonts w:ascii="Arial" w:hAnsi="Arial" w:cs="Arial"/>
          <w:i w:val="0"/>
          <w:iCs w:val="0"/>
          <w:color w:val="auto"/>
          <w:spacing w:val="0"/>
          <w:sz w:val="22"/>
          <w:szCs w:val="22"/>
        </w:rPr>
        <w:t xml:space="preserve">0% increase to the base and additional salary </w:t>
      </w:r>
      <w:r w:rsidR="001931DA" w:rsidRPr="00190A36">
        <w:rPr>
          <w:rFonts w:ascii="Arial" w:hAnsi="Arial" w:cs="Arial"/>
          <w:i w:val="0"/>
          <w:iCs w:val="0"/>
          <w:color w:val="auto"/>
          <w:spacing w:val="0"/>
          <w:sz w:val="22"/>
          <w:szCs w:val="22"/>
        </w:rPr>
        <w:t>rates</w:t>
      </w:r>
      <w:r w:rsidR="00B9182D" w:rsidRPr="00190A36">
        <w:rPr>
          <w:rFonts w:ascii="Arial" w:hAnsi="Arial" w:cs="Arial"/>
          <w:i w:val="0"/>
          <w:iCs w:val="0"/>
          <w:color w:val="auto"/>
          <w:spacing w:val="0"/>
          <w:sz w:val="22"/>
          <w:szCs w:val="22"/>
        </w:rPr>
        <w:t xml:space="preserve"> of members commencing </w:t>
      </w:r>
      <w:r w:rsidR="001931DA" w:rsidRPr="00190A36">
        <w:rPr>
          <w:rFonts w:ascii="Arial" w:hAnsi="Arial" w:cs="Arial"/>
          <w:i w:val="0"/>
          <w:iCs w:val="0"/>
          <w:color w:val="auto"/>
          <w:spacing w:val="0"/>
          <w:sz w:val="22"/>
          <w:szCs w:val="22"/>
        </w:rPr>
        <w:t>from</w:t>
      </w:r>
      <w:r w:rsidR="00B9182D" w:rsidRPr="00190A36">
        <w:rPr>
          <w:rFonts w:ascii="Arial" w:hAnsi="Arial" w:cs="Arial"/>
          <w:i w:val="0"/>
          <w:iCs w:val="0"/>
          <w:color w:val="auto"/>
          <w:spacing w:val="0"/>
          <w:sz w:val="22"/>
          <w:szCs w:val="22"/>
        </w:rPr>
        <w:t xml:space="preserve"> 1</w:t>
      </w:r>
      <w:r w:rsidR="00694F19">
        <w:rPr>
          <w:rFonts w:ascii="Arial" w:hAnsi="Arial" w:cs="Arial"/>
          <w:i w:val="0"/>
          <w:iCs w:val="0"/>
          <w:color w:val="auto"/>
          <w:spacing w:val="0"/>
          <w:sz w:val="22"/>
          <w:szCs w:val="22"/>
        </w:rPr>
        <w:t> </w:t>
      </w:r>
      <w:r w:rsidR="00B9182D" w:rsidRPr="00190A36">
        <w:rPr>
          <w:rFonts w:ascii="Arial" w:hAnsi="Arial" w:cs="Arial"/>
          <w:i w:val="0"/>
          <w:iCs w:val="0"/>
          <w:color w:val="auto"/>
          <w:spacing w:val="0"/>
          <w:sz w:val="22"/>
          <w:szCs w:val="22"/>
        </w:rPr>
        <w:t xml:space="preserve">September </w:t>
      </w:r>
      <w:proofErr w:type="gramStart"/>
      <w:r w:rsidR="00B9182D" w:rsidRPr="00190A36">
        <w:rPr>
          <w:rFonts w:ascii="Arial" w:hAnsi="Arial" w:cs="Arial"/>
          <w:i w:val="0"/>
          <w:iCs w:val="0"/>
          <w:color w:val="auto"/>
          <w:spacing w:val="0"/>
          <w:sz w:val="22"/>
          <w:szCs w:val="22"/>
        </w:rPr>
        <w:t>2019</w:t>
      </w:r>
      <w:proofErr w:type="gramEnd"/>
      <w:r w:rsidR="00B9182D" w:rsidRPr="00190A36">
        <w:rPr>
          <w:rFonts w:ascii="Arial" w:hAnsi="Arial" w:cs="Arial"/>
          <w:i w:val="0"/>
          <w:iCs w:val="0"/>
          <w:color w:val="auto"/>
          <w:spacing w:val="0"/>
          <w:sz w:val="22"/>
          <w:szCs w:val="22"/>
        </w:rPr>
        <w:t xml:space="preserve"> </w:t>
      </w:r>
    </w:p>
    <w:p w14:paraId="79AD322C" w14:textId="52B41E9F" w:rsidR="001931DA" w:rsidRPr="00190A36" w:rsidRDefault="001931DA" w:rsidP="001931DA">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a 0% increase to the base and additional salary rates of members commencing from </w:t>
      </w:r>
      <w:r w:rsidR="00B9182D" w:rsidRPr="00190A36">
        <w:rPr>
          <w:rFonts w:ascii="Arial" w:hAnsi="Arial" w:cs="Arial"/>
          <w:i w:val="0"/>
          <w:iCs w:val="0"/>
          <w:color w:val="auto"/>
          <w:spacing w:val="0"/>
          <w:sz w:val="22"/>
          <w:szCs w:val="22"/>
        </w:rPr>
        <w:t>1</w:t>
      </w:r>
      <w:r w:rsidR="00694F19">
        <w:rPr>
          <w:rFonts w:ascii="Arial" w:hAnsi="Arial" w:cs="Arial"/>
          <w:i w:val="0"/>
          <w:iCs w:val="0"/>
          <w:color w:val="auto"/>
          <w:spacing w:val="0"/>
          <w:sz w:val="22"/>
          <w:szCs w:val="22"/>
        </w:rPr>
        <w:t> </w:t>
      </w:r>
      <w:r w:rsidR="00B9182D" w:rsidRPr="00190A36">
        <w:rPr>
          <w:rFonts w:ascii="Arial" w:hAnsi="Arial" w:cs="Arial"/>
          <w:i w:val="0"/>
          <w:iCs w:val="0"/>
          <w:color w:val="auto"/>
          <w:spacing w:val="0"/>
          <w:sz w:val="22"/>
          <w:szCs w:val="22"/>
        </w:rPr>
        <w:t xml:space="preserve">September </w:t>
      </w:r>
      <w:proofErr w:type="gramStart"/>
      <w:r w:rsidR="00B9182D" w:rsidRPr="00190A36">
        <w:rPr>
          <w:rFonts w:ascii="Arial" w:hAnsi="Arial" w:cs="Arial"/>
          <w:i w:val="0"/>
          <w:iCs w:val="0"/>
          <w:color w:val="auto"/>
          <w:spacing w:val="0"/>
          <w:sz w:val="22"/>
          <w:szCs w:val="22"/>
        </w:rPr>
        <w:t>2020</w:t>
      </w:r>
      <w:proofErr w:type="gramEnd"/>
      <w:r w:rsidR="00B9182D" w:rsidRPr="00190A36">
        <w:rPr>
          <w:rFonts w:ascii="Arial" w:hAnsi="Arial" w:cs="Arial"/>
          <w:i w:val="0"/>
          <w:iCs w:val="0"/>
          <w:color w:val="auto"/>
          <w:spacing w:val="0"/>
          <w:sz w:val="22"/>
          <w:szCs w:val="22"/>
        </w:rPr>
        <w:t xml:space="preserve"> </w:t>
      </w:r>
    </w:p>
    <w:p w14:paraId="336B1FEE" w14:textId="4BEF1142" w:rsidR="001931DA" w:rsidRPr="00190A36" w:rsidRDefault="001931DA" w:rsidP="001931DA">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a 2.5% increase to the base and additional salary rates of members from 1</w:t>
      </w:r>
      <w:r w:rsidR="00694F19">
        <w:rPr>
          <w:rFonts w:ascii="Arial" w:hAnsi="Arial" w:cs="Arial"/>
          <w:i w:val="0"/>
          <w:iCs w:val="0"/>
          <w:color w:val="auto"/>
          <w:spacing w:val="0"/>
          <w:sz w:val="22"/>
          <w:szCs w:val="22"/>
        </w:rPr>
        <w:t> </w:t>
      </w:r>
      <w:r w:rsidRPr="00190A36">
        <w:rPr>
          <w:rFonts w:ascii="Arial" w:hAnsi="Arial" w:cs="Arial"/>
          <w:i w:val="0"/>
          <w:iCs w:val="0"/>
          <w:color w:val="auto"/>
          <w:spacing w:val="0"/>
          <w:sz w:val="22"/>
          <w:szCs w:val="22"/>
        </w:rPr>
        <w:t>September</w:t>
      </w:r>
      <w:r w:rsidR="00694F19">
        <w:rPr>
          <w:rFonts w:ascii="Arial" w:hAnsi="Arial" w:cs="Arial"/>
          <w:i w:val="0"/>
          <w:iCs w:val="0"/>
          <w:color w:val="auto"/>
          <w:spacing w:val="0"/>
          <w:sz w:val="22"/>
          <w:szCs w:val="22"/>
        </w:rPr>
        <w:t> </w:t>
      </w:r>
      <w:r w:rsidRPr="00190A36">
        <w:rPr>
          <w:rFonts w:ascii="Arial" w:hAnsi="Arial" w:cs="Arial"/>
          <w:i w:val="0"/>
          <w:iCs w:val="0"/>
          <w:color w:val="auto"/>
          <w:spacing w:val="0"/>
          <w:sz w:val="22"/>
          <w:szCs w:val="22"/>
        </w:rPr>
        <w:t>2021</w:t>
      </w:r>
    </w:p>
    <w:p w14:paraId="430D3A20" w14:textId="18C519AC" w:rsidR="009E65BA" w:rsidRPr="00190A36" w:rsidRDefault="00B9182D" w:rsidP="00EB58B1">
      <w:pPr>
        <w:pStyle w:val="Subtitle"/>
        <w:numPr>
          <w:ilvl w:val="0"/>
          <w:numId w:val="15"/>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 xml:space="preserve">a </w:t>
      </w:r>
      <w:r w:rsidR="007F0FAA" w:rsidRPr="00190A36">
        <w:rPr>
          <w:rFonts w:ascii="Arial" w:hAnsi="Arial" w:cs="Arial"/>
          <w:i w:val="0"/>
          <w:iCs w:val="0"/>
          <w:color w:val="auto"/>
          <w:spacing w:val="0"/>
          <w:sz w:val="22"/>
          <w:szCs w:val="22"/>
        </w:rPr>
        <w:t>2.5% increase to the b</w:t>
      </w:r>
      <w:r w:rsidR="0075273E" w:rsidRPr="00190A36">
        <w:rPr>
          <w:rFonts w:ascii="Arial" w:hAnsi="Arial" w:cs="Arial"/>
          <w:i w:val="0"/>
          <w:iCs w:val="0"/>
          <w:color w:val="auto"/>
          <w:spacing w:val="0"/>
          <w:sz w:val="22"/>
          <w:szCs w:val="22"/>
        </w:rPr>
        <w:t>ase and additional</w:t>
      </w:r>
      <w:r w:rsidR="00471E08" w:rsidRPr="00190A36">
        <w:rPr>
          <w:rFonts w:ascii="Arial" w:hAnsi="Arial" w:cs="Arial"/>
          <w:i w:val="0"/>
          <w:iCs w:val="0"/>
          <w:color w:val="auto"/>
          <w:spacing w:val="0"/>
          <w:sz w:val="22"/>
          <w:szCs w:val="22"/>
        </w:rPr>
        <w:t xml:space="preserve"> salary </w:t>
      </w:r>
      <w:r w:rsidR="007F0FAA" w:rsidRPr="00190A36">
        <w:rPr>
          <w:rFonts w:ascii="Arial" w:hAnsi="Arial" w:cs="Arial"/>
          <w:i w:val="0"/>
          <w:iCs w:val="0"/>
          <w:color w:val="auto"/>
          <w:spacing w:val="0"/>
          <w:sz w:val="22"/>
          <w:szCs w:val="22"/>
        </w:rPr>
        <w:t>rates of</w:t>
      </w:r>
      <w:r w:rsidR="00471E08" w:rsidRPr="00190A36">
        <w:rPr>
          <w:rFonts w:ascii="Arial" w:hAnsi="Arial" w:cs="Arial"/>
          <w:i w:val="0"/>
          <w:iCs w:val="0"/>
          <w:color w:val="auto"/>
          <w:spacing w:val="0"/>
          <w:sz w:val="22"/>
          <w:szCs w:val="22"/>
        </w:rPr>
        <w:t xml:space="preserve"> members</w:t>
      </w:r>
      <w:r w:rsidR="00441A65" w:rsidRPr="00190A36">
        <w:rPr>
          <w:rFonts w:ascii="Arial" w:hAnsi="Arial" w:cs="Arial"/>
          <w:i w:val="0"/>
          <w:iCs w:val="0"/>
          <w:color w:val="auto"/>
          <w:spacing w:val="0"/>
          <w:sz w:val="22"/>
          <w:szCs w:val="22"/>
        </w:rPr>
        <w:t xml:space="preserve"> </w:t>
      </w:r>
      <w:r w:rsidR="001931DA" w:rsidRPr="00190A36">
        <w:rPr>
          <w:rFonts w:ascii="Arial" w:hAnsi="Arial" w:cs="Arial"/>
          <w:i w:val="0"/>
          <w:iCs w:val="0"/>
          <w:color w:val="auto"/>
          <w:spacing w:val="0"/>
          <w:sz w:val="22"/>
          <w:szCs w:val="22"/>
        </w:rPr>
        <w:t>from</w:t>
      </w:r>
      <w:r w:rsidR="00441A65" w:rsidRPr="00190A36">
        <w:rPr>
          <w:rFonts w:ascii="Arial" w:hAnsi="Arial" w:cs="Arial"/>
          <w:i w:val="0"/>
          <w:iCs w:val="0"/>
          <w:color w:val="auto"/>
          <w:spacing w:val="0"/>
          <w:sz w:val="22"/>
          <w:szCs w:val="22"/>
        </w:rPr>
        <w:t xml:space="preserve"> 1 September 2022.</w:t>
      </w:r>
    </w:p>
    <w:p w14:paraId="6BA03D21" w14:textId="467890DB" w:rsidR="003C3A2D" w:rsidRPr="007706F5" w:rsidRDefault="00A77F88" w:rsidP="00695E11">
      <w:pPr>
        <w:pStyle w:val="Subtitle"/>
        <w:numPr>
          <w:ilvl w:val="0"/>
          <w:numId w:val="0"/>
        </w:numPr>
        <w:spacing w:after="160" w:line="259" w:lineRule="auto"/>
        <w:rPr>
          <w:rFonts w:ascii="Arial" w:hAnsi="Arial" w:cs="Arial"/>
          <w:i w:val="0"/>
          <w:iCs w:val="0"/>
          <w:color w:val="auto"/>
          <w:spacing w:val="0"/>
          <w:sz w:val="22"/>
          <w:szCs w:val="22"/>
        </w:rPr>
      </w:pPr>
      <w:r w:rsidRPr="00190A36">
        <w:rPr>
          <w:rFonts w:ascii="Arial" w:hAnsi="Arial" w:cs="Arial"/>
          <w:i w:val="0"/>
          <w:iCs w:val="0"/>
          <w:color w:val="auto"/>
          <w:spacing w:val="0"/>
          <w:sz w:val="22"/>
          <w:szCs w:val="22"/>
        </w:rPr>
        <w:t>However, i</w:t>
      </w:r>
      <w:r w:rsidR="005C31E0" w:rsidRPr="00190A36">
        <w:rPr>
          <w:rFonts w:ascii="Arial" w:hAnsi="Arial" w:cs="Arial"/>
          <w:i w:val="0"/>
          <w:iCs w:val="0"/>
          <w:color w:val="auto"/>
          <w:spacing w:val="0"/>
          <w:sz w:val="22"/>
          <w:szCs w:val="22"/>
        </w:rPr>
        <w:t xml:space="preserve">n accordance with the decision of </w:t>
      </w:r>
      <w:proofErr w:type="gramStart"/>
      <w:r w:rsidR="005C31E0" w:rsidRPr="00190A36">
        <w:rPr>
          <w:rFonts w:ascii="Arial" w:hAnsi="Arial" w:cs="Arial"/>
          <w:i w:val="0"/>
          <w:iCs w:val="0"/>
          <w:color w:val="auto"/>
          <w:spacing w:val="0"/>
          <w:sz w:val="22"/>
          <w:szCs w:val="22"/>
        </w:rPr>
        <w:t xml:space="preserve">the majority </w:t>
      </w:r>
      <w:r w:rsidRPr="00190A36">
        <w:rPr>
          <w:rFonts w:ascii="Arial" w:hAnsi="Arial" w:cs="Arial"/>
          <w:i w:val="0"/>
          <w:iCs w:val="0"/>
          <w:color w:val="auto"/>
          <w:spacing w:val="0"/>
          <w:sz w:val="22"/>
          <w:szCs w:val="22"/>
        </w:rPr>
        <w:t>of</w:t>
      </w:r>
      <w:proofErr w:type="gramEnd"/>
      <w:r w:rsidRPr="00190A36">
        <w:rPr>
          <w:rFonts w:ascii="Arial" w:hAnsi="Arial" w:cs="Arial"/>
          <w:i w:val="0"/>
          <w:iCs w:val="0"/>
          <w:color w:val="auto"/>
          <w:spacing w:val="0"/>
          <w:sz w:val="22"/>
          <w:szCs w:val="22"/>
        </w:rPr>
        <w:t xml:space="preserve"> the members of the Tribunal, </w:t>
      </w:r>
      <w:r w:rsidR="005C31E0" w:rsidRPr="00190A36">
        <w:rPr>
          <w:rFonts w:ascii="Arial" w:hAnsi="Arial" w:cs="Arial"/>
          <w:i w:val="0"/>
          <w:iCs w:val="0"/>
          <w:color w:val="auto"/>
          <w:spacing w:val="0"/>
          <w:sz w:val="22"/>
          <w:szCs w:val="22"/>
        </w:rPr>
        <w:t xml:space="preserve">a 0% increase </w:t>
      </w:r>
      <w:r w:rsidR="007B2A18" w:rsidRPr="00190A36">
        <w:rPr>
          <w:rFonts w:ascii="Arial" w:hAnsi="Arial" w:cs="Arial"/>
          <w:i w:val="0"/>
          <w:iCs w:val="0"/>
          <w:color w:val="auto"/>
          <w:spacing w:val="0"/>
          <w:sz w:val="22"/>
          <w:szCs w:val="22"/>
        </w:rPr>
        <w:t>(</w:t>
      </w:r>
      <w:r w:rsidR="008E3ED6" w:rsidRPr="00190A36">
        <w:rPr>
          <w:rFonts w:ascii="Arial" w:hAnsi="Arial" w:cs="Arial"/>
          <w:i w:val="0"/>
          <w:iCs w:val="0"/>
          <w:color w:val="auto"/>
          <w:spacing w:val="0"/>
          <w:sz w:val="22"/>
          <w:szCs w:val="22"/>
        </w:rPr>
        <w:t xml:space="preserve">a salary freeze) </w:t>
      </w:r>
      <w:r w:rsidR="005C31E0" w:rsidRPr="00190A36">
        <w:rPr>
          <w:rFonts w:ascii="Arial" w:hAnsi="Arial" w:cs="Arial"/>
          <w:i w:val="0"/>
          <w:iCs w:val="0"/>
          <w:color w:val="auto"/>
          <w:spacing w:val="0"/>
          <w:sz w:val="22"/>
          <w:szCs w:val="22"/>
        </w:rPr>
        <w:t>will apply</w:t>
      </w:r>
      <w:r w:rsidR="0075273E" w:rsidRPr="00190A36">
        <w:rPr>
          <w:rFonts w:ascii="Arial" w:hAnsi="Arial" w:cs="Arial"/>
          <w:i w:val="0"/>
          <w:iCs w:val="0"/>
          <w:color w:val="auto"/>
          <w:spacing w:val="0"/>
          <w:sz w:val="22"/>
          <w:szCs w:val="22"/>
        </w:rPr>
        <w:t xml:space="preserve"> to the base and additional salary rates of members</w:t>
      </w:r>
      <w:r w:rsidR="005C31E0" w:rsidRPr="00190A36">
        <w:rPr>
          <w:rFonts w:ascii="Arial" w:hAnsi="Arial" w:cs="Arial"/>
          <w:i w:val="0"/>
          <w:iCs w:val="0"/>
          <w:color w:val="auto"/>
          <w:spacing w:val="0"/>
          <w:sz w:val="22"/>
          <w:szCs w:val="22"/>
        </w:rPr>
        <w:t xml:space="preserve"> </w:t>
      </w:r>
      <w:r w:rsidR="000825BB" w:rsidRPr="00190A36">
        <w:rPr>
          <w:rFonts w:ascii="Arial" w:hAnsi="Arial" w:cs="Arial"/>
          <w:i w:val="0"/>
          <w:iCs w:val="0"/>
          <w:color w:val="auto"/>
          <w:spacing w:val="0"/>
          <w:sz w:val="22"/>
          <w:szCs w:val="22"/>
        </w:rPr>
        <w:t>from 1 September of each year from</w:t>
      </w:r>
      <w:r w:rsidR="005C31E0" w:rsidRPr="00190A36">
        <w:rPr>
          <w:rFonts w:ascii="Arial" w:hAnsi="Arial" w:cs="Arial"/>
          <w:i w:val="0"/>
          <w:iCs w:val="0"/>
          <w:color w:val="auto"/>
          <w:spacing w:val="0"/>
          <w:sz w:val="22"/>
          <w:szCs w:val="22"/>
        </w:rPr>
        <w:t xml:space="preserve"> 2019 </w:t>
      </w:r>
      <w:r w:rsidR="000825BB" w:rsidRPr="00190A36">
        <w:rPr>
          <w:rFonts w:ascii="Arial" w:hAnsi="Arial" w:cs="Arial"/>
          <w:i w:val="0"/>
          <w:iCs w:val="0"/>
          <w:color w:val="auto"/>
          <w:spacing w:val="0"/>
          <w:sz w:val="22"/>
          <w:szCs w:val="22"/>
        </w:rPr>
        <w:t>to</w:t>
      </w:r>
      <w:r w:rsidR="005C31E0" w:rsidRPr="00190A36">
        <w:rPr>
          <w:rFonts w:ascii="Arial" w:hAnsi="Arial" w:cs="Arial"/>
          <w:i w:val="0"/>
          <w:iCs w:val="0"/>
          <w:color w:val="auto"/>
          <w:spacing w:val="0"/>
          <w:sz w:val="22"/>
          <w:szCs w:val="22"/>
        </w:rPr>
        <w:t xml:space="preserve"> 2022</w:t>
      </w:r>
      <w:r w:rsidRPr="00190A36">
        <w:rPr>
          <w:rFonts w:ascii="Arial" w:hAnsi="Arial" w:cs="Arial"/>
          <w:i w:val="0"/>
          <w:iCs w:val="0"/>
          <w:color w:val="auto"/>
          <w:spacing w:val="0"/>
          <w:sz w:val="22"/>
          <w:szCs w:val="22"/>
        </w:rPr>
        <w:t xml:space="preserve">. The rates for 2021 and 2022 could be revisited </w:t>
      </w:r>
      <w:r w:rsidR="008122FE" w:rsidRPr="00190A36">
        <w:rPr>
          <w:rFonts w:ascii="Arial" w:hAnsi="Arial" w:cs="Arial"/>
          <w:i w:val="0"/>
          <w:iCs w:val="0"/>
          <w:color w:val="auto"/>
          <w:spacing w:val="0"/>
          <w:sz w:val="22"/>
          <w:szCs w:val="22"/>
        </w:rPr>
        <w:t>but this would require a legislative amendment.</w:t>
      </w:r>
      <w:r w:rsidR="008122FE" w:rsidRPr="007706F5">
        <w:rPr>
          <w:rFonts w:ascii="Arial" w:hAnsi="Arial" w:cs="Arial"/>
          <w:i w:val="0"/>
          <w:iCs w:val="0"/>
          <w:color w:val="auto"/>
          <w:spacing w:val="0"/>
          <w:sz w:val="22"/>
          <w:szCs w:val="22"/>
        </w:rPr>
        <w:t xml:space="preserve"> </w:t>
      </w:r>
    </w:p>
    <w:p w14:paraId="7F15C374" w14:textId="372C3F46" w:rsidR="00E71A58" w:rsidRPr="00EB58B1" w:rsidRDefault="00E71A58" w:rsidP="000C600B">
      <w:pPr>
        <w:pStyle w:val="Subtitle"/>
        <w:spacing w:after="160" w:line="259" w:lineRule="auto"/>
        <w:rPr>
          <w:rFonts w:ascii="Arial" w:hAnsi="Arial" w:cs="Arial"/>
          <w:i w:val="0"/>
          <w:iCs w:val="0"/>
          <w:color w:val="auto"/>
          <w:spacing w:val="0"/>
          <w:sz w:val="22"/>
          <w:szCs w:val="22"/>
          <w:u w:val="single"/>
        </w:rPr>
      </w:pPr>
      <w:r w:rsidRPr="00EB58B1">
        <w:rPr>
          <w:rFonts w:ascii="Arial" w:hAnsi="Arial" w:cs="Arial"/>
          <w:i w:val="0"/>
          <w:iCs w:val="0"/>
          <w:color w:val="auto"/>
          <w:spacing w:val="0"/>
          <w:sz w:val="22"/>
          <w:szCs w:val="22"/>
          <w:u w:val="single"/>
        </w:rPr>
        <w:t>Alternative view (</w:t>
      </w:r>
      <w:r w:rsidR="000C600B" w:rsidRPr="00EB58B1">
        <w:rPr>
          <w:rFonts w:ascii="Arial" w:hAnsi="Arial" w:cs="Arial"/>
          <w:i w:val="0"/>
          <w:iCs w:val="0"/>
          <w:color w:val="auto"/>
          <w:spacing w:val="0"/>
          <w:sz w:val="22"/>
          <w:szCs w:val="22"/>
          <w:u w:val="single"/>
        </w:rPr>
        <w:t xml:space="preserve">Tribunal </w:t>
      </w:r>
      <w:r w:rsidRPr="00EB58B1">
        <w:rPr>
          <w:rFonts w:ascii="Arial" w:hAnsi="Arial" w:cs="Arial"/>
          <w:i w:val="0"/>
          <w:iCs w:val="0"/>
          <w:color w:val="auto"/>
          <w:spacing w:val="0"/>
          <w:sz w:val="22"/>
          <w:szCs w:val="22"/>
          <w:u w:val="single"/>
        </w:rPr>
        <w:t>member)</w:t>
      </w:r>
    </w:p>
    <w:p w14:paraId="0BB4FDE8" w14:textId="77777777" w:rsidR="00E71A58" w:rsidRPr="00EB58B1" w:rsidRDefault="00E71A58" w:rsidP="00E71A58">
      <w:pPr>
        <w:pStyle w:val="Subtitle"/>
        <w:numPr>
          <w:ilvl w:val="0"/>
          <w:numId w:val="0"/>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In reaching the decision of the majority, a member of the Tribunal took a different view. Factors that provided the background to this view included the COVID-19 impact, both present and potentially in the future, on the state's economy; the  looming cuts to </w:t>
      </w:r>
      <w:proofErr w:type="spellStart"/>
      <w:r w:rsidRPr="00EB58B1">
        <w:rPr>
          <w:rFonts w:ascii="Arial" w:hAnsi="Arial" w:cs="Arial"/>
          <w:i w:val="0"/>
          <w:iCs w:val="0"/>
          <w:color w:val="auto"/>
          <w:spacing w:val="0"/>
          <w:sz w:val="22"/>
          <w:szCs w:val="22"/>
        </w:rPr>
        <w:t>Jobkeeper</w:t>
      </w:r>
      <w:proofErr w:type="spellEnd"/>
      <w:r w:rsidRPr="00EB58B1">
        <w:rPr>
          <w:rFonts w:ascii="Arial" w:hAnsi="Arial" w:cs="Arial"/>
          <w:i w:val="0"/>
          <w:iCs w:val="0"/>
          <w:color w:val="auto"/>
          <w:spacing w:val="0"/>
          <w:sz w:val="22"/>
          <w:szCs w:val="22"/>
        </w:rPr>
        <w:t xml:space="preserve"> and Jobseeker; the increasing number of people who are losing their jobs; the threats of future lockdowns; extensive difficulties for small businesses; the decisions of senior executives of public and private institutions to forego part of their salary; the preparedness in some institutions for staff to take salary cuts to save the jobs of others; and indeed the widespread insecurity and anxiety. These are not the circumstances where members can or should be quarantined from the stresses of those </w:t>
      </w:r>
      <w:r w:rsidRPr="00EB58B1">
        <w:rPr>
          <w:rFonts w:ascii="Arial" w:hAnsi="Arial" w:cs="Arial"/>
          <w:i w:val="0"/>
          <w:iCs w:val="0"/>
          <w:color w:val="auto"/>
          <w:spacing w:val="0"/>
          <w:sz w:val="22"/>
          <w:szCs w:val="22"/>
        </w:rPr>
        <w:lastRenderedPageBreak/>
        <w:t>whom they govern. Both the Premier and the Leader of the Opposition have recognised these factors in asking that pay be frozen. </w:t>
      </w:r>
    </w:p>
    <w:p w14:paraId="397D5345" w14:textId="77777777" w:rsidR="00E71A58" w:rsidRPr="00EB58B1" w:rsidRDefault="00E71A58" w:rsidP="00E71A58">
      <w:pPr>
        <w:pStyle w:val="Subtitle"/>
        <w:numPr>
          <w:ilvl w:val="0"/>
          <w:numId w:val="0"/>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 xml:space="preserve">It seems reasonable that members, already well paid, should </w:t>
      </w:r>
      <w:proofErr w:type="gramStart"/>
      <w:r w:rsidRPr="00EB58B1">
        <w:rPr>
          <w:rFonts w:ascii="Arial" w:hAnsi="Arial" w:cs="Arial"/>
          <w:i w:val="0"/>
          <w:iCs w:val="0"/>
          <w:color w:val="auto"/>
          <w:spacing w:val="0"/>
          <w:sz w:val="22"/>
          <w:szCs w:val="22"/>
        </w:rPr>
        <w:t>make a contribution</w:t>
      </w:r>
      <w:proofErr w:type="gramEnd"/>
      <w:r w:rsidRPr="00EB58B1">
        <w:rPr>
          <w:rFonts w:ascii="Arial" w:hAnsi="Arial" w:cs="Arial"/>
          <w:i w:val="0"/>
          <w:iCs w:val="0"/>
          <w:color w:val="auto"/>
          <w:spacing w:val="0"/>
          <w:sz w:val="22"/>
          <w:szCs w:val="22"/>
        </w:rPr>
        <w:t>, however symbolic the sacrifice, to the pain felt widely in their communities, particularly by those out of work or facing a future without a job. Therefore, the intent of the member was to propose a </w:t>
      </w:r>
      <w:r w:rsidRPr="00EB58B1">
        <w:rPr>
          <w:rFonts w:ascii="Arial" w:hAnsi="Arial" w:cs="Arial"/>
          <w:b/>
          <w:iCs w:val="0"/>
          <w:color w:val="auto"/>
          <w:spacing w:val="0"/>
          <w:sz w:val="22"/>
          <w:szCs w:val="22"/>
        </w:rPr>
        <w:t>temporary</w:t>
      </w:r>
      <w:r w:rsidRPr="00EB58B1">
        <w:rPr>
          <w:rFonts w:ascii="Arial" w:hAnsi="Arial" w:cs="Arial"/>
          <w:i w:val="0"/>
          <w:iCs w:val="0"/>
          <w:color w:val="auto"/>
          <w:spacing w:val="0"/>
          <w:sz w:val="22"/>
          <w:szCs w:val="22"/>
        </w:rPr>
        <w:t> reduction of the pay of members, by around 10 per cent, to be reviewed at regular intervals and restored when the economic conditions are better for all the community. There was no intent to establish a lower rate of pay; just to allow members to be with their electors in a difficult time.</w:t>
      </w:r>
    </w:p>
    <w:p w14:paraId="17F05B6E" w14:textId="22A7E77E" w:rsidR="00E71A58" w:rsidRPr="00EB58B1" w:rsidRDefault="00E71A58" w:rsidP="00195053">
      <w:pPr>
        <w:pStyle w:val="Subtitle"/>
        <w:keepLines/>
        <w:numPr>
          <w:ilvl w:val="0"/>
          <w:numId w:val="0"/>
        </w:numPr>
        <w:spacing w:after="160" w:line="259" w:lineRule="auto"/>
        <w:rPr>
          <w:rFonts w:ascii="Arial" w:hAnsi="Arial" w:cs="Arial"/>
          <w:i w:val="0"/>
          <w:iCs w:val="0"/>
          <w:color w:val="auto"/>
          <w:spacing w:val="0"/>
          <w:sz w:val="22"/>
          <w:szCs w:val="22"/>
        </w:rPr>
      </w:pPr>
      <w:r w:rsidRPr="00EB58B1">
        <w:rPr>
          <w:rFonts w:ascii="Arial" w:hAnsi="Arial" w:cs="Arial"/>
          <w:i w:val="0"/>
          <w:iCs w:val="0"/>
          <w:color w:val="auto"/>
          <w:spacing w:val="0"/>
          <w:sz w:val="22"/>
          <w:szCs w:val="22"/>
        </w:rPr>
        <w:t>The Act under which the Tribunal is established does not</w:t>
      </w:r>
      <w:r w:rsidR="00B107E6" w:rsidRPr="00EB58B1">
        <w:rPr>
          <w:rFonts w:ascii="Arial" w:hAnsi="Arial" w:cs="Arial"/>
          <w:i w:val="0"/>
          <w:iCs w:val="0"/>
          <w:color w:val="auto"/>
          <w:spacing w:val="0"/>
          <w:sz w:val="22"/>
          <w:szCs w:val="22"/>
        </w:rPr>
        <w:t>,</w:t>
      </w:r>
      <w:r w:rsidRPr="00EB58B1">
        <w:rPr>
          <w:rFonts w:ascii="Arial" w:hAnsi="Arial" w:cs="Arial"/>
          <w:i w:val="0"/>
          <w:iCs w:val="0"/>
          <w:color w:val="auto"/>
          <w:spacing w:val="0"/>
          <w:sz w:val="22"/>
          <w:szCs w:val="22"/>
        </w:rPr>
        <w:t xml:space="preserve"> however</w:t>
      </w:r>
      <w:r w:rsidR="00B107E6" w:rsidRPr="00EB58B1">
        <w:rPr>
          <w:rFonts w:ascii="Arial" w:hAnsi="Arial" w:cs="Arial"/>
          <w:i w:val="0"/>
          <w:iCs w:val="0"/>
          <w:color w:val="auto"/>
          <w:spacing w:val="0"/>
          <w:sz w:val="22"/>
          <w:szCs w:val="22"/>
        </w:rPr>
        <w:t>,</w:t>
      </w:r>
      <w:r w:rsidRPr="00EB58B1">
        <w:rPr>
          <w:rFonts w:ascii="Arial" w:hAnsi="Arial" w:cs="Arial"/>
          <w:i w:val="0"/>
          <w:iCs w:val="0"/>
          <w:color w:val="auto"/>
          <w:spacing w:val="0"/>
          <w:sz w:val="22"/>
          <w:szCs w:val="22"/>
        </w:rPr>
        <w:t xml:space="preserve"> allow fora </w:t>
      </w:r>
      <w:r w:rsidRPr="00EB58B1">
        <w:rPr>
          <w:rFonts w:ascii="Arial" w:hAnsi="Arial" w:cs="Arial"/>
          <w:b/>
          <w:iCs w:val="0"/>
          <w:color w:val="auto"/>
          <w:spacing w:val="0"/>
          <w:sz w:val="22"/>
          <w:szCs w:val="22"/>
        </w:rPr>
        <w:t>temporary</w:t>
      </w:r>
      <w:r w:rsidRPr="00EB58B1">
        <w:rPr>
          <w:rFonts w:ascii="Arial" w:hAnsi="Arial" w:cs="Arial"/>
          <w:i w:val="0"/>
          <w:iCs w:val="0"/>
          <w:color w:val="auto"/>
          <w:spacing w:val="0"/>
          <w:sz w:val="22"/>
          <w:szCs w:val="22"/>
        </w:rPr>
        <w:t> reduction in the salary of members, or for the restoration of such a reduction. In those circumstances no action could be taken</w:t>
      </w:r>
      <w:r w:rsidR="00BA7CE9" w:rsidRPr="00EB58B1">
        <w:rPr>
          <w:rFonts w:ascii="Arial" w:hAnsi="Arial" w:cs="Arial"/>
          <w:i w:val="0"/>
          <w:iCs w:val="0"/>
          <w:color w:val="auto"/>
          <w:spacing w:val="0"/>
          <w:sz w:val="22"/>
          <w:szCs w:val="22"/>
        </w:rPr>
        <w:t>,</w:t>
      </w:r>
      <w:r w:rsidRPr="00EB58B1">
        <w:rPr>
          <w:rFonts w:ascii="Arial" w:hAnsi="Arial" w:cs="Arial"/>
          <w:i w:val="0"/>
          <w:iCs w:val="0"/>
          <w:color w:val="auto"/>
          <w:spacing w:val="0"/>
          <w:sz w:val="22"/>
          <w:szCs w:val="22"/>
        </w:rPr>
        <w:t xml:space="preserve"> and the Tribunal member joined in the </w:t>
      </w:r>
      <w:r w:rsidR="00B107E6" w:rsidRPr="00EB58B1">
        <w:rPr>
          <w:rFonts w:ascii="Arial" w:hAnsi="Arial" w:cs="Arial"/>
          <w:i w:val="0"/>
          <w:iCs w:val="0"/>
          <w:color w:val="auto"/>
          <w:spacing w:val="0"/>
          <w:sz w:val="22"/>
          <w:szCs w:val="22"/>
        </w:rPr>
        <w:t>m</w:t>
      </w:r>
      <w:r w:rsidRPr="00EB58B1">
        <w:rPr>
          <w:rFonts w:ascii="Arial" w:hAnsi="Arial" w:cs="Arial"/>
          <w:i w:val="0"/>
          <w:iCs w:val="0"/>
          <w:color w:val="auto"/>
          <w:spacing w:val="0"/>
          <w:sz w:val="22"/>
          <w:szCs w:val="22"/>
        </w:rPr>
        <w:t xml:space="preserve">ajority </w:t>
      </w:r>
      <w:r w:rsidR="00B107E6" w:rsidRPr="00EB58B1">
        <w:rPr>
          <w:rFonts w:ascii="Arial" w:hAnsi="Arial" w:cs="Arial"/>
          <w:i w:val="0"/>
          <w:iCs w:val="0"/>
          <w:color w:val="auto"/>
          <w:spacing w:val="0"/>
          <w:sz w:val="22"/>
          <w:szCs w:val="22"/>
        </w:rPr>
        <w:t>d</w:t>
      </w:r>
      <w:r w:rsidRPr="00EB58B1">
        <w:rPr>
          <w:rFonts w:ascii="Arial" w:hAnsi="Arial" w:cs="Arial"/>
          <w:i w:val="0"/>
          <w:iCs w:val="0"/>
          <w:color w:val="auto"/>
          <w:spacing w:val="0"/>
          <w:sz w:val="22"/>
          <w:szCs w:val="22"/>
        </w:rPr>
        <w:t>etermination of the Tribunal. </w:t>
      </w:r>
    </w:p>
    <w:p w14:paraId="2D4D2E43" w14:textId="5968BCD6" w:rsidR="00CB3682" w:rsidRPr="007706F5" w:rsidRDefault="00CB3682" w:rsidP="00CB3682">
      <w:pPr>
        <w:pStyle w:val="Heading1"/>
        <w:spacing w:after="240"/>
        <w:rPr>
          <w:rFonts w:ascii="Arial" w:hAnsi="Arial" w:cs="Arial"/>
          <w:i/>
          <w:sz w:val="23"/>
          <w:szCs w:val="23"/>
        </w:rPr>
      </w:pPr>
      <w:r w:rsidRPr="007706F5">
        <w:rPr>
          <w:rFonts w:ascii="Arial" w:hAnsi="Arial" w:cs="Arial"/>
        </w:rPr>
        <w:t>2. Allowances</w:t>
      </w:r>
      <w:r w:rsidR="005D68AD" w:rsidRPr="007706F5">
        <w:rPr>
          <w:rFonts w:ascii="Arial" w:hAnsi="Arial" w:cs="Arial"/>
        </w:rPr>
        <w:t xml:space="preserve"> – Electorate and Communication Allowance</w:t>
      </w:r>
    </w:p>
    <w:p w14:paraId="6E850D8B" w14:textId="4874361F" w:rsidR="007F271C" w:rsidRPr="007706F5" w:rsidRDefault="007F271C" w:rsidP="007F271C">
      <w:pPr>
        <w:pStyle w:val="Subtitle"/>
        <w:spacing w:after="160" w:line="259" w:lineRule="auto"/>
        <w:rPr>
          <w:rFonts w:ascii="Arial" w:hAnsi="Arial" w:cs="Arial"/>
          <w:sz w:val="22"/>
          <w:szCs w:val="22"/>
        </w:rPr>
      </w:pPr>
      <w:r w:rsidRPr="007706F5">
        <w:rPr>
          <w:rFonts w:ascii="Arial" w:hAnsi="Arial" w:cs="Arial"/>
          <w:sz w:val="22"/>
          <w:szCs w:val="22"/>
        </w:rPr>
        <w:t>Electorate and Communication Allowance</w:t>
      </w:r>
    </w:p>
    <w:p w14:paraId="016574AD" w14:textId="77777777" w:rsidR="007F271C" w:rsidRPr="007706F5" w:rsidRDefault="007F271C" w:rsidP="007F271C">
      <w:pPr>
        <w:spacing w:line="259" w:lineRule="auto"/>
        <w:rPr>
          <w:rFonts w:ascii="Arial" w:hAnsi="Arial" w:cs="Arial"/>
        </w:rPr>
      </w:pPr>
      <w:r w:rsidRPr="007706F5">
        <w:rPr>
          <w:rFonts w:ascii="Arial" w:hAnsi="Arial" w:cs="Arial"/>
        </w:rPr>
        <w:t xml:space="preserve">The </w:t>
      </w:r>
      <w:r w:rsidR="002200E3" w:rsidRPr="007706F5">
        <w:rPr>
          <w:rFonts w:ascii="Arial" w:hAnsi="Arial" w:cs="Arial"/>
        </w:rPr>
        <w:t>Electorate and Communication Allowance (</w:t>
      </w:r>
      <w:r w:rsidRPr="007706F5">
        <w:rPr>
          <w:rFonts w:ascii="Arial" w:hAnsi="Arial" w:cs="Arial"/>
        </w:rPr>
        <w:t>ECA</w:t>
      </w:r>
      <w:r w:rsidR="002200E3" w:rsidRPr="007706F5">
        <w:rPr>
          <w:rFonts w:ascii="Arial" w:hAnsi="Arial" w:cs="Arial"/>
        </w:rPr>
        <w:t>)</w:t>
      </w:r>
      <w:r w:rsidRPr="007706F5">
        <w:rPr>
          <w:rFonts w:ascii="Arial" w:hAnsi="Arial" w:cs="Arial"/>
        </w:rPr>
        <w:t xml:space="preserve"> is provided to cover a range of expenditure associated with: </w:t>
      </w:r>
    </w:p>
    <w:p w14:paraId="2C39C8F8" w14:textId="77777777" w:rsidR="007F271C" w:rsidRPr="007706F5" w:rsidRDefault="007F271C" w:rsidP="00AC7BED">
      <w:pPr>
        <w:pStyle w:val="ListParagraph"/>
        <w:numPr>
          <w:ilvl w:val="0"/>
          <w:numId w:val="2"/>
        </w:numPr>
        <w:rPr>
          <w:rFonts w:ascii="Arial" w:hAnsi="Arial" w:cs="Arial"/>
        </w:rPr>
      </w:pPr>
      <w:r w:rsidRPr="007706F5">
        <w:rPr>
          <w:rFonts w:ascii="Arial" w:hAnsi="Arial" w:cs="Arial"/>
        </w:rPr>
        <w:t>providing constituent assistance and service for the electorate</w:t>
      </w:r>
    </w:p>
    <w:p w14:paraId="3FDFADCF" w14:textId="044C086B" w:rsidR="007F271C" w:rsidRPr="007706F5" w:rsidRDefault="007F271C" w:rsidP="00AC7BED">
      <w:pPr>
        <w:pStyle w:val="ListParagraph"/>
        <w:numPr>
          <w:ilvl w:val="0"/>
          <w:numId w:val="2"/>
        </w:numPr>
        <w:rPr>
          <w:rFonts w:ascii="Arial" w:hAnsi="Arial" w:cs="Arial"/>
        </w:rPr>
      </w:pPr>
      <w:r w:rsidRPr="007706F5">
        <w:rPr>
          <w:rFonts w:ascii="Arial" w:hAnsi="Arial" w:cs="Arial"/>
        </w:rPr>
        <w:t xml:space="preserve">obtaining and disseminating information to constituents that is relevant to fulfilling parliamentary and constituency </w:t>
      </w:r>
      <w:proofErr w:type="gramStart"/>
      <w:r w:rsidRPr="007706F5">
        <w:rPr>
          <w:rFonts w:ascii="Arial" w:hAnsi="Arial" w:cs="Arial"/>
        </w:rPr>
        <w:t>responsibilities</w:t>
      </w:r>
      <w:proofErr w:type="gramEnd"/>
    </w:p>
    <w:p w14:paraId="031BA9C5" w14:textId="77777777" w:rsidR="007F271C" w:rsidRPr="007706F5" w:rsidRDefault="007F271C" w:rsidP="00AC7BED">
      <w:pPr>
        <w:pStyle w:val="ListParagraph"/>
        <w:numPr>
          <w:ilvl w:val="0"/>
          <w:numId w:val="2"/>
        </w:numPr>
        <w:rPr>
          <w:rFonts w:ascii="Arial" w:hAnsi="Arial" w:cs="Arial"/>
        </w:rPr>
      </w:pPr>
      <w:r w:rsidRPr="007706F5">
        <w:rPr>
          <w:rFonts w:ascii="Arial" w:hAnsi="Arial" w:cs="Arial"/>
        </w:rPr>
        <w:t xml:space="preserve">meeting incidental costs relating to the operation of a </w:t>
      </w:r>
      <w:r w:rsidR="00C97892" w:rsidRPr="007706F5">
        <w:rPr>
          <w:rFonts w:ascii="Arial" w:hAnsi="Arial" w:cs="Arial"/>
        </w:rPr>
        <w:t>m</w:t>
      </w:r>
      <w:r w:rsidRPr="007706F5">
        <w:rPr>
          <w:rFonts w:ascii="Arial" w:hAnsi="Arial" w:cs="Arial"/>
        </w:rPr>
        <w:t xml:space="preserve">ember’s electorate office. </w:t>
      </w:r>
    </w:p>
    <w:p w14:paraId="574C91FA" w14:textId="77777777" w:rsidR="009F1132" w:rsidRPr="007706F5" w:rsidRDefault="009F1132" w:rsidP="007F271C">
      <w:pPr>
        <w:spacing w:line="259" w:lineRule="auto"/>
        <w:rPr>
          <w:rFonts w:ascii="Arial" w:hAnsi="Arial" w:cs="Arial"/>
        </w:rPr>
      </w:pPr>
    </w:p>
    <w:p w14:paraId="2F89127E" w14:textId="77777777" w:rsidR="007F271C" w:rsidRPr="007706F5" w:rsidRDefault="007F271C" w:rsidP="007F271C">
      <w:pPr>
        <w:spacing w:line="259" w:lineRule="auto"/>
        <w:rPr>
          <w:rFonts w:ascii="Arial" w:hAnsi="Arial" w:cs="Arial"/>
        </w:rPr>
      </w:pPr>
      <w:r w:rsidRPr="007706F5">
        <w:rPr>
          <w:rFonts w:ascii="Arial" w:hAnsi="Arial" w:cs="Arial"/>
        </w:rPr>
        <w:t>The ECA may not be used to meet expenditure for:</w:t>
      </w:r>
    </w:p>
    <w:p w14:paraId="3897411E" w14:textId="77777777" w:rsidR="007F271C" w:rsidRPr="007706F5" w:rsidRDefault="007F271C" w:rsidP="00AC7BED">
      <w:pPr>
        <w:pStyle w:val="ListParagraph"/>
        <w:numPr>
          <w:ilvl w:val="0"/>
          <w:numId w:val="2"/>
        </w:numPr>
        <w:rPr>
          <w:rFonts w:ascii="Arial" w:hAnsi="Arial" w:cs="Arial"/>
        </w:rPr>
      </w:pPr>
      <w:r w:rsidRPr="007706F5">
        <w:rPr>
          <w:rFonts w:ascii="Arial" w:hAnsi="Arial" w:cs="Arial"/>
        </w:rPr>
        <w:t xml:space="preserve">private or commercial purposes or to purchase goods and services where the </w:t>
      </w:r>
      <w:r w:rsidR="00C97892" w:rsidRPr="007706F5">
        <w:rPr>
          <w:rFonts w:ascii="Arial" w:hAnsi="Arial" w:cs="Arial"/>
        </w:rPr>
        <w:t>m</w:t>
      </w:r>
      <w:r w:rsidRPr="007706F5">
        <w:rPr>
          <w:rFonts w:ascii="Arial" w:hAnsi="Arial" w:cs="Arial"/>
        </w:rPr>
        <w:t xml:space="preserve">ember, or a connected party is the provider of the goods and </w:t>
      </w:r>
      <w:proofErr w:type="gramStart"/>
      <w:r w:rsidRPr="007706F5">
        <w:rPr>
          <w:rFonts w:ascii="Arial" w:hAnsi="Arial" w:cs="Arial"/>
        </w:rPr>
        <w:t>services</w:t>
      </w:r>
      <w:proofErr w:type="gramEnd"/>
    </w:p>
    <w:p w14:paraId="1DA9F178" w14:textId="73EB9B47" w:rsidR="007F271C" w:rsidRPr="007706F5" w:rsidRDefault="007F271C" w:rsidP="00AC7BED">
      <w:pPr>
        <w:pStyle w:val="ListParagraph"/>
        <w:numPr>
          <w:ilvl w:val="0"/>
          <w:numId w:val="2"/>
        </w:numPr>
        <w:rPr>
          <w:rFonts w:ascii="Arial" w:hAnsi="Arial" w:cs="Arial"/>
        </w:rPr>
      </w:pPr>
      <w:r w:rsidRPr="007706F5">
        <w:rPr>
          <w:rFonts w:ascii="Arial" w:hAnsi="Arial" w:cs="Arial"/>
        </w:rPr>
        <w:t>political party activity</w:t>
      </w:r>
    </w:p>
    <w:p w14:paraId="1BA14CB5" w14:textId="77777777" w:rsidR="007F271C" w:rsidRPr="007706F5" w:rsidRDefault="007F271C" w:rsidP="00AC7BED">
      <w:pPr>
        <w:pStyle w:val="ListParagraph"/>
        <w:numPr>
          <w:ilvl w:val="0"/>
          <w:numId w:val="2"/>
        </w:numPr>
        <w:rPr>
          <w:rFonts w:ascii="Arial" w:hAnsi="Arial" w:cs="Arial"/>
        </w:rPr>
      </w:pPr>
      <w:r w:rsidRPr="007706F5">
        <w:rPr>
          <w:rFonts w:ascii="Arial" w:hAnsi="Arial" w:cs="Arial"/>
        </w:rPr>
        <w:t xml:space="preserve">electioneering and campaigning purposes. </w:t>
      </w:r>
    </w:p>
    <w:p w14:paraId="33A1E1D5" w14:textId="77777777" w:rsidR="004B6CA1" w:rsidRPr="007706F5" w:rsidRDefault="004B6CA1" w:rsidP="009F1132">
      <w:pPr>
        <w:rPr>
          <w:rFonts w:ascii="Arial" w:hAnsi="Arial" w:cs="Arial"/>
        </w:rPr>
      </w:pPr>
    </w:p>
    <w:p w14:paraId="437010FE" w14:textId="7FEDC4F4" w:rsidR="000C21CF" w:rsidRPr="007706F5" w:rsidRDefault="000C21CF" w:rsidP="003C3A2D">
      <w:pPr>
        <w:pStyle w:val="Subtitle"/>
        <w:keepNext/>
        <w:keepLines/>
        <w:spacing w:after="160" w:line="259" w:lineRule="auto"/>
        <w:rPr>
          <w:rFonts w:ascii="Arial" w:hAnsi="Arial" w:cs="Arial"/>
          <w:sz w:val="22"/>
          <w:szCs w:val="22"/>
        </w:rPr>
      </w:pPr>
      <w:r w:rsidRPr="007706F5">
        <w:rPr>
          <w:rFonts w:ascii="Arial" w:hAnsi="Arial" w:cs="Arial"/>
          <w:sz w:val="22"/>
          <w:szCs w:val="22"/>
        </w:rPr>
        <w:t>ECA bands and electoral roll data</w:t>
      </w:r>
    </w:p>
    <w:p w14:paraId="7A236AF8" w14:textId="6A93BAC3" w:rsidR="004B6CA1" w:rsidRPr="007706F5" w:rsidRDefault="004B6CA1" w:rsidP="003C3A2D">
      <w:pPr>
        <w:keepNext/>
        <w:keepLines/>
        <w:spacing w:after="200" w:line="276" w:lineRule="auto"/>
        <w:contextualSpacing/>
        <w:rPr>
          <w:rFonts w:ascii="Arial" w:eastAsia="Calibri" w:hAnsi="Arial" w:cs="Arial"/>
        </w:rPr>
      </w:pPr>
      <w:r w:rsidRPr="007706F5">
        <w:rPr>
          <w:rFonts w:ascii="Arial" w:eastAsia="Calibri" w:hAnsi="Arial" w:cs="Arial"/>
        </w:rPr>
        <w:t>Electorates are grouped into four bands</w:t>
      </w:r>
      <w:r w:rsidR="000C21CF" w:rsidRPr="007706F5">
        <w:rPr>
          <w:rFonts w:ascii="Arial" w:eastAsia="Calibri" w:hAnsi="Arial" w:cs="Arial"/>
        </w:rPr>
        <w:t xml:space="preserve"> </w:t>
      </w:r>
      <w:r w:rsidRPr="007706F5">
        <w:rPr>
          <w:rFonts w:ascii="Arial" w:eastAsia="Calibri" w:hAnsi="Arial" w:cs="Arial"/>
        </w:rPr>
        <w:t xml:space="preserve">based on a formula of (60c per person registered on the electoral roll) + (1.5c per square kilometre of electorate) in recognition of the impact of population and area on usage of the ECA. </w:t>
      </w:r>
      <w:r w:rsidR="003A7CC3" w:rsidRPr="007706F5">
        <w:rPr>
          <w:rFonts w:ascii="Arial" w:eastAsia="Calibri" w:hAnsi="Arial" w:cs="Arial"/>
        </w:rPr>
        <w:t>The c</w:t>
      </w:r>
      <w:r w:rsidRPr="007706F5">
        <w:rPr>
          <w:rFonts w:ascii="Arial" w:eastAsia="Calibri" w:hAnsi="Arial" w:cs="Arial"/>
        </w:rPr>
        <w:t>urrent band</w:t>
      </w:r>
      <w:r w:rsidR="003A7CC3" w:rsidRPr="007706F5">
        <w:rPr>
          <w:rFonts w:ascii="Arial" w:eastAsia="Calibri" w:hAnsi="Arial" w:cs="Arial"/>
        </w:rPr>
        <w:t>s</w:t>
      </w:r>
      <w:r w:rsidRPr="007706F5">
        <w:rPr>
          <w:rFonts w:ascii="Arial" w:eastAsia="Calibri" w:hAnsi="Arial" w:cs="Arial"/>
        </w:rPr>
        <w:t xml:space="preserve"> are:</w:t>
      </w:r>
    </w:p>
    <w:p w14:paraId="3BCB9D63" w14:textId="77777777" w:rsidR="004B6CA1" w:rsidRPr="007706F5" w:rsidRDefault="004B6CA1" w:rsidP="003C3A2D">
      <w:pPr>
        <w:keepNext/>
        <w:keepLines/>
        <w:spacing w:after="200" w:line="276" w:lineRule="auto"/>
        <w:contextualSpacing/>
        <w:rPr>
          <w:rFonts w:ascii="Arial" w:eastAsia="Calibri" w:hAnsi="Arial" w:cs="Arial"/>
        </w:rPr>
      </w:pPr>
      <w:r w:rsidRPr="007706F5">
        <w:rPr>
          <w:rFonts w:ascii="Arial" w:eastAsia="Calibri" w:hAnsi="Arial" w:cs="Arial"/>
        </w:rPr>
        <w:t xml:space="preserve"> </w:t>
      </w:r>
    </w:p>
    <w:tbl>
      <w:tblPr>
        <w:tblStyle w:val="TableGrid"/>
        <w:tblW w:w="9209" w:type="dxa"/>
        <w:tblLook w:val="04A0" w:firstRow="1" w:lastRow="0" w:firstColumn="1" w:lastColumn="0" w:noHBand="0" w:noVBand="1"/>
      </w:tblPr>
      <w:tblGrid>
        <w:gridCol w:w="1555"/>
        <w:gridCol w:w="7654"/>
      </w:tblGrid>
      <w:tr w:rsidR="00A343FD" w:rsidRPr="007706F5" w14:paraId="0C672265" w14:textId="77777777" w:rsidTr="00897443">
        <w:trPr>
          <w:trHeight w:val="255"/>
        </w:trPr>
        <w:tc>
          <w:tcPr>
            <w:tcW w:w="1555" w:type="dxa"/>
            <w:shd w:val="clear" w:color="auto" w:fill="95B3D7"/>
            <w:noWrap/>
            <w:hideMark/>
          </w:tcPr>
          <w:p w14:paraId="0D61AB05" w14:textId="406BF0FD" w:rsidR="00A343FD" w:rsidRPr="007706F5" w:rsidRDefault="00A343FD" w:rsidP="003C3A2D">
            <w:pPr>
              <w:keepNext/>
              <w:keepLines/>
              <w:jc w:val="center"/>
              <w:rPr>
                <w:rFonts w:ascii="Arial" w:eastAsia="Times New Roman" w:hAnsi="Arial" w:cs="Arial"/>
                <w:b/>
                <w:bCs/>
                <w:color w:val="000000"/>
              </w:rPr>
            </w:pPr>
            <w:r w:rsidRPr="007706F5">
              <w:rPr>
                <w:rFonts w:ascii="Arial" w:eastAsia="Times New Roman" w:hAnsi="Arial" w:cs="Arial"/>
                <w:b/>
                <w:bCs/>
                <w:color w:val="000000"/>
              </w:rPr>
              <w:t>Band</w:t>
            </w:r>
          </w:p>
        </w:tc>
        <w:tc>
          <w:tcPr>
            <w:tcW w:w="7654" w:type="dxa"/>
            <w:shd w:val="clear" w:color="auto" w:fill="95B3D7"/>
          </w:tcPr>
          <w:p w14:paraId="2214A0BC" w14:textId="5A05AE78" w:rsidR="00A343FD" w:rsidRPr="007706F5" w:rsidRDefault="00A343FD" w:rsidP="003C3A2D">
            <w:pPr>
              <w:keepNext/>
              <w:keepLines/>
              <w:jc w:val="center"/>
              <w:rPr>
                <w:rFonts w:ascii="Arial" w:eastAsia="Times New Roman" w:hAnsi="Arial" w:cs="Arial"/>
                <w:b/>
                <w:bCs/>
                <w:color w:val="000000"/>
              </w:rPr>
            </w:pPr>
            <w:r w:rsidRPr="007706F5">
              <w:rPr>
                <w:rFonts w:ascii="Arial" w:eastAsia="Times New Roman" w:hAnsi="Arial" w:cs="Arial"/>
                <w:b/>
                <w:bCs/>
                <w:color w:val="000000"/>
              </w:rPr>
              <w:t>Quantum of ECA for each band</w:t>
            </w:r>
            <w:r w:rsidRPr="007706F5">
              <w:rPr>
                <w:rFonts w:ascii="Arial" w:eastAsia="Calibri" w:hAnsi="Arial" w:cs="Arial"/>
                <w:vertAlign w:val="superscript"/>
              </w:rPr>
              <w:footnoteReference w:id="6"/>
            </w:r>
          </w:p>
        </w:tc>
      </w:tr>
      <w:tr w:rsidR="00A343FD" w:rsidRPr="007706F5" w14:paraId="135B55B2" w14:textId="77777777" w:rsidTr="00897443">
        <w:trPr>
          <w:trHeight w:val="165"/>
        </w:trPr>
        <w:tc>
          <w:tcPr>
            <w:tcW w:w="1555" w:type="dxa"/>
            <w:shd w:val="clear" w:color="auto" w:fill="95B3D7"/>
            <w:noWrap/>
            <w:hideMark/>
          </w:tcPr>
          <w:p w14:paraId="6B9F24DA" w14:textId="77777777"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1</w:t>
            </w:r>
          </w:p>
        </w:tc>
        <w:tc>
          <w:tcPr>
            <w:tcW w:w="7654" w:type="dxa"/>
          </w:tcPr>
          <w:p w14:paraId="17EDA839" w14:textId="07534ACD"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$69,600</w:t>
            </w:r>
          </w:p>
        </w:tc>
      </w:tr>
      <w:tr w:rsidR="00A343FD" w:rsidRPr="007706F5" w14:paraId="4883A973" w14:textId="77777777" w:rsidTr="00897443">
        <w:trPr>
          <w:trHeight w:val="165"/>
        </w:trPr>
        <w:tc>
          <w:tcPr>
            <w:tcW w:w="1555" w:type="dxa"/>
            <w:shd w:val="clear" w:color="auto" w:fill="95B3D7"/>
            <w:noWrap/>
            <w:hideMark/>
          </w:tcPr>
          <w:p w14:paraId="31F34FFA" w14:textId="77777777"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2</w:t>
            </w:r>
          </w:p>
        </w:tc>
        <w:tc>
          <w:tcPr>
            <w:tcW w:w="7654" w:type="dxa"/>
          </w:tcPr>
          <w:p w14:paraId="3D3C2C7E" w14:textId="0B1DB40F"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$72,200</w:t>
            </w:r>
          </w:p>
        </w:tc>
      </w:tr>
      <w:tr w:rsidR="00A343FD" w:rsidRPr="007706F5" w14:paraId="681E6022" w14:textId="77777777" w:rsidTr="00897443">
        <w:trPr>
          <w:trHeight w:val="165"/>
        </w:trPr>
        <w:tc>
          <w:tcPr>
            <w:tcW w:w="1555" w:type="dxa"/>
            <w:shd w:val="clear" w:color="auto" w:fill="95B3D7"/>
            <w:noWrap/>
            <w:hideMark/>
          </w:tcPr>
          <w:p w14:paraId="7E088C25" w14:textId="77777777"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3</w:t>
            </w:r>
          </w:p>
        </w:tc>
        <w:tc>
          <w:tcPr>
            <w:tcW w:w="7654" w:type="dxa"/>
          </w:tcPr>
          <w:p w14:paraId="6B424357" w14:textId="34FFF29E"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$73,900</w:t>
            </w:r>
          </w:p>
        </w:tc>
      </w:tr>
      <w:tr w:rsidR="00A343FD" w:rsidRPr="007706F5" w14:paraId="0E6B6E86" w14:textId="77777777" w:rsidTr="00897443">
        <w:trPr>
          <w:trHeight w:val="165"/>
        </w:trPr>
        <w:tc>
          <w:tcPr>
            <w:tcW w:w="1555" w:type="dxa"/>
            <w:shd w:val="clear" w:color="auto" w:fill="95B3D7"/>
            <w:noWrap/>
            <w:hideMark/>
          </w:tcPr>
          <w:p w14:paraId="705AD82F" w14:textId="77777777"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4</w:t>
            </w:r>
          </w:p>
        </w:tc>
        <w:tc>
          <w:tcPr>
            <w:tcW w:w="7654" w:type="dxa"/>
          </w:tcPr>
          <w:p w14:paraId="57E1D9C0" w14:textId="48C20315" w:rsidR="00A343FD" w:rsidRPr="007706F5" w:rsidRDefault="00A343FD" w:rsidP="003C3A2D">
            <w:pPr>
              <w:keepNext/>
              <w:keepLines/>
              <w:jc w:val="center"/>
              <w:rPr>
                <w:rFonts w:ascii="Arial" w:eastAsia="Times New Roman" w:hAnsi="Arial" w:cs="Arial"/>
                <w:color w:val="000000"/>
              </w:rPr>
            </w:pPr>
            <w:r w:rsidRPr="007706F5">
              <w:rPr>
                <w:rFonts w:ascii="Arial" w:eastAsia="Times New Roman" w:hAnsi="Arial" w:cs="Arial"/>
                <w:color w:val="000000"/>
              </w:rPr>
              <w:t>$76,400</w:t>
            </w:r>
          </w:p>
        </w:tc>
      </w:tr>
    </w:tbl>
    <w:p w14:paraId="4A7BC101" w14:textId="77777777" w:rsidR="004B6CA1" w:rsidRPr="007706F5" w:rsidRDefault="004B6CA1" w:rsidP="004B6CA1">
      <w:pPr>
        <w:spacing w:after="200" w:line="276" w:lineRule="auto"/>
        <w:contextualSpacing/>
        <w:rPr>
          <w:rFonts w:ascii="Arial" w:eastAsia="Calibri" w:hAnsi="Arial" w:cs="Arial"/>
        </w:rPr>
      </w:pPr>
    </w:p>
    <w:p w14:paraId="57493475" w14:textId="3A00EA3B" w:rsidR="00B3772A" w:rsidRPr="00EB58B1" w:rsidRDefault="003C3F0B" w:rsidP="00B3772A">
      <w:pPr>
        <w:spacing w:after="200" w:line="276" w:lineRule="auto"/>
        <w:rPr>
          <w:rFonts w:ascii="Arial" w:eastAsia="Calibri" w:hAnsi="Arial" w:cs="Arial"/>
        </w:rPr>
      </w:pPr>
      <w:r w:rsidRPr="00EB58B1">
        <w:rPr>
          <w:rFonts w:ascii="Arial" w:hAnsi="Arial" w:cs="Arial"/>
        </w:rPr>
        <w:lastRenderedPageBreak/>
        <w:t xml:space="preserve">The Tribunal considers electoral roll data to be a current and accurate source for </w:t>
      </w:r>
      <w:r w:rsidR="00B3772A" w:rsidRPr="00EB58B1">
        <w:rPr>
          <w:rFonts w:ascii="Arial" w:hAnsi="Arial" w:cs="Arial"/>
        </w:rPr>
        <w:t>setting</w:t>
      </w:r>
      <w:r w:rsidRPr="00EB58B1">
        <w:rPr>
          <w:rFonts w:ascii="Arial" w:hAnsi="Arial" w:cs="Arial"/>
        </w:rPr>
        <w:t xml:space="preserve"> the ECA bands</w:t>
      </w:r>
      <w:r w:rsidR="00562271" w:rsidRPr="00EB58B1">
        <w:rPr>
          <w:rFonts w:ascii="Arial" w:hAnsi="Arial" w:cs="Arial"/>
        </w:rPr>
        <w:t xml:space="preserve"> as e</w:t>
      </w:r>
      <w:r w:rsidR="00B3772A" w:rsidRPr="00EB58B1">
        <w:rPr>
          <w:rFonts w:ascii="Arial" w:eastAsia="Calibri" w:hAnsi="Arial" w:cs="Arial"/>
        </w:rPr>
        <w:t xml:space="preserve">lectors have a role in ‘assessing’ the performance of a member and ensuring </w:t>
      </w:r>
      <w:r w:rsidR="00B75E67" w:rsidRPr="00EB58B1">
        <w:rPr>
          <w:rFonts w:ascii="Arial" w:eastAsia="Calibri" w:hAnsi="Arial" w:cs="Arial"/>
        </w:rPr>
        <w:t>m</w:t>
      </w:r>
      <w:r w:rsidR="00B3772A" w:rsidRPr="00EB58B1">
        <w:rPr>
          <w:rFonts w:ascii="Arial" w:eastAsia="Calibri" w:hAnsi="Arial" w:cs="Arial"/>
        </w:rPr>
        <w:t xml:space="preserve">embers are accountable to their electorate. </w:t>
      </w:r>
    </w:p>
    <w:p w14:paraId="2E3C1271" w14:textId="77777777" w:rsidR="00DD1DE6" w:rsidRPr="00EB58B1" w:rsidRDefault="00BD04AB" w:rsidP="00342D2C">
      <w:pPr>
        <w:spacing w:after="200" w:line="276" w:lineRule="auto"/>
        <w:rPr>
          <w:rFonts w:ascii="Arial" w:eastAsia="Calibri" w:hAnsi="Arial" w:cs="Arial"/>
        </w:rPr>
      </w:pPr>
      <w:r w:rsidRPr="00EB58B1">
        <w:rPr>
          <w:rFonts w:ascii="Arial" w:hAnsi="Arial" w:cs="Arial"/>
        </w:rPr>
        <w:t xml:space="preserve">In previous determinations the </w:t>
      </w:r>
      <w:r w:rsidR="000735C9" w:rsidRPr="00EB58B1">
        <w:rPr>
          <w:rFonts w:ascii="Arial" w:hAnsi="Arial" w:cs="Arial"/>
        </w:rPr>
        <w:t>Tribunal</w:t>
      </w:r>
      <w:r w:rsidRPr="00EB58B1">
        <w:rPr>
          <w:rFonts w:ascii="Arial" w:hAnsi="Arial" w:cs="Arial"/>
        </w:rPr>
        <w:t xml:space="preserve"> has committed to </w:t>
      </w:r>
      <w:r w:rsidR="000735C9" w:rsidRPr="00EB58B1">
        <w:rPr>
          <w:rFonts w:ascii="Arial" w:eastAsia="Calibri" w:hAnsi="Arial" w:cs="Arial"/>
        </w:rPr>
        <w:t>reviewing electoral roll data and making any necessary adjustments to the allocation of electorates to bands. Review of electora</w:t>
      </w:r>
      <w:r w:rsidR="00342D2C" w:rsidRPr="00EB58B1">
        <w:rPr>
          <w:rFonts w:ascii="Arial" w:eastAsia="Calibri" w:hAnsi="Arial" w:cs="Arial"/>
        </w:rPr>
        <w:t>l</w:t>
      </w:r>
      <w:r w:rsidR="000735C9" w:rsidRPr="00EB58B1">
        <w:rPr>
          <w:rFonts w:ascii="Arial" w:eastAsia="Calibri" w:hAnsi="Arial" w:cs="Arial"/>
        </w:rPr>
        <w:t xml:space="preserve"> roll data as </w:t>
      </w:r>
      <w:proofErr w:type="gramStart"/>
      <w:r w:rsidR="000735C9" w:rsidRPr="00EB58B1">
        <w:rPr>
          <w:rFonts w:ascii="Arial" w:eastAsia="Calibri" w:hAnsi="Arial" w:cs="Arial"/>
        </w:rPr>
        <w:t>at</w:t>
      </w:r>
      <w:proofErr w:type="gramEnd"/>
      <w:r w:rsidR="000735C9" w:rsidRPr="00EB58B1">
        <w:rPr>
          <w:rFonts w:ascii="Arial" w:eastAsia="Calibri" w:hAnsi="Arial" w:cs="Arial"/>
        </w:rPr>
        <w:t xml:space="preserve"> 30 June 2020 reveals </w:t>
      </w:r>
      <w:r w:rsidR="00342D2C" w:rsidRPr="00EB58B1">
        <w:rPr>
          <w:rFonts w:ascii="Arial" w:eastAsia="Calibri" w:hAnsi="Arial" w:cs="Arial"/>
        </w:rPr>
        <w:t xml:space="preserve">that there has been a significant upward trend in voter registrations. An additional 129,865 voters have been added to the State electoral roll since electoral roll data was previously considered by the Tribunal in November 2017. </w:t>
      </w:r>
    </w:p>
    <w:p w14:paraId="5635A0E5" w14:textId="5B7F4DDC" w:rsidR="00342D2C" w:rsidRPr="00EB58B1" w:rsidRDefault="00342D2C" w:rsidP="009F2B9A">
      <w:pPr>
        <w:keepNext/>
        <w:keepLines/>
        <w:spacing w:after="200" w:line="276" w:lineRule="auto"/>
        <w:rPr>
          <w:rFonts w:ascii="Arial" w:eastAsia="Calibri" w:hAnsi="Arial" w:cs="Arial"/>
        </w:rPr>
      </w:pPr>
      <w:r w:rsidRPr="00EB58B1">
        <w:rPr>
          <w:rFonts w:ascii="Arial" w:eastAsia="Calibri" w:hAnsi="Arial" w:cs="Arial"/>
        </w:rPr>
        <w:t xml:space="preserve">Applying the new electoral roll figures to the </w:t>
      </w:r>
      <w:r w:rsidR="002A7CF4" w:rsidRPr="00EB58B1">
        <w:rPr>
          <w:rFonts w:ascii="Arial" w:eastAsia="Calibri" w:hAnsi="Arial" w:cs="Arial"/>
        </w:rPr>
        <w:t xml:space="preserve">ECA </w:t>
      </w:r>
      <w:r w:rsidRPr="00EB58B1">
        <w:rPr>
          <w:rFonts w:ascii="Arial" w:eastAsia="Calibri" w:hAnsi="Arial" w:cs="Arial"/>
        </w:rPr>
        <w:t>formula</w:t>
      </w:r>
      <w:r w:rsidR="0078575F" w:rsidRPr="00EB58B1">
        <w:rPr>
          <w:rFonts w:ascii="Arial" w:eastAsia="Calibri" w:hAnsi="Arial" w:cs="Arial"/>
        </w:rPr>
        <w:t xml:space="preserve"> and ensuring that members of certain electorates are not disadvantaged</w:t>
      </w:r>
      <w:r w:rsidR="004350AA" w:rsidRPr="00EB58B1">
        <w:rPr>
          <w:rStyle w:val="FootnoteReference"/>
          <w:rFonts w:ascii="Arial" w:eastAsia="Calibri" w:hAnsi="Arial" w:cs="Arial"/>
        </w:rPr>
        <w:footnoteReference w:id="7"/>
      </w:r>
      <w:r w:rsidR="0078575F" w:rsidRPr="00EB58B1">
        <w:rPr>
          <w:rFonts w:ascii="Arial" w:eastAsia="Calibri" w:hAnsi="Arial" w:cs="Arial"/>
        </w:rPr>
        <w:t xml:space="preserve"> </w:t>
      </w:r>
      <w:r w:rsidR="00293FB2" w:rsidRPr="00EB58B1">
        <w:rPr>
          <w:rFonts w:ascii="Arial" w:eastAsia="Calibri" w:hAnsi="Arial" w:cs="Arial"/>
        </w:rPr>
        <w:t xml:space="preserve">would result in </w:t>
      </w:r>
      <w:r w:rsidR="002E31BF" w:rsidRPr="00EB58B1">
        <w:rPr>
          <w:rFonts w:ascii="Arial" w:eastAsia="Calibri" w:hAnsi="Arial" w:cs="Arial"/>
        </w:rPr>
        <w:t xml:space="preserve">the following: </w:t>
      </w:r>
    </w:p>
    <w:tbl>
      <w:tblPr>
        <w:tblStyle w:val="TableGrid"/>
        <w:tblW w:w="9067" w:type="dxa"/>
        <w:tblLook w:val="04A0" w:firstRow="1" w:lastRow="0" w:firstColumn="1" w:lastColumn="0" w:noHBand="0" w:noVBand="1"/>
      </w:tblPr>
      <w:tblGrid>
        <w:gridCol w:w="817"/>
        <w:gridCol w:w="2013"/>
        <w:gridCol w:w="2835"/>
        <w:gridCol w:w="3402"/>
      </w:tblGrid>
      <w:tr w:rsidR="0060258E" w:rsidRPr="007706F5" w14:paraId="6E6F9CCB" w14:textId="20E6C882" w:rsidTr="0060258E">
        <w:trPr>
          <w:cantSplit/>
          <w:trHeight w:val="255"/>
        </w:trPr>
        <w:tc>
          <w:tcPr>
            <w:tcW w:w="817" w:type="dxa"/>
            <w:shd w:val="clear" w:color="auto" w:fill="95B3D7"/>
            <w:noWrap/>
            <w:vAlign w:val="center"/>
            <w:hideMark/>
          </w:tcPr>
          <w:p w14:paraId="10D3DB2A" w14:textId="77777777" w:rsidR="0060258E" w:rsidRPr="00EB58B1" w:rsidRDefault="0060258E" w:rsidP="00CE5C9C">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Band </w:t>
            </w:r>
          </w:p>
        </w:tc>
        <w:tc>
          <w:tcPr>
            <w:tcW w:w="2013" w:type="dxa"/>
            <w:shd w:val="clear" w:color="auto" w:fill="95B3D7"/>
            <w:vAlign w:val="center"/>
          </w:tcPr>
          <w:p w14:paraId="4602DFE4" w14:textId="24D27D37" w:rsidR="0060258E" w:rsidRPr="00EB58B1" w:rsidRDefault="0060258E" w:rsidP="00CE5C9C">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Quantum of ECA </w:t>
            </w:r>
          </w:p>
        </w:tc>
        <w:tc>
          <w:tcPr>
            <w:tcW w:w="2835" w:type="dxa"/>
            <w:shd w:val="clear" w:color="auto" w:fill="95B3D7"/>
            <w:vAlign w:val="center"/>
          </w:tcPr>
          <w:p w14:paraId="77541706" w14:textId="48E6F7AD" w:rsidR="0060258E" w:rsidRPr="00EB58B1" w:rsidRDefault="0060258E" w:rsidP="00CE5C9C">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No. of electorates at Nov 2017</w:t>
            </w:r>
          </w:p>
        </w:tc>
        <w:tc>
          <w:tcPr>
            <w:tcW w:w="3402" w:type="dxa"/>
            <w:shd w:val="clear" w:color="auto" w:fill="95B3D7"/>
            <w:vAlign w:val="center"/>
          </w:tcPr>
          <w:p w14:paraId="70044247" w14:textId="73E55715" w:rsidR="0060258E" w:rsidRPr="00EB58B1" w:rsidRDefault="0060258E" w:rsidP="00CE5C9C">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No. of electorates </w:t>
            </w:r>
            <w:proofErr w:type="gramStart"/>
            <w:r w:rsidRPr="00EB58B1">
              <w:rPr>
                <w:rFonts w:ascii="Arial" w:eastAsia="Times New Roman" w:hAnsi="Arial" w:cs="Arial"/>
                <w:b/>
                <w:bCs/>
                <w:color w:val="000000"/>
                <w:sz w:val="18"/>
                <w:szCs w:val="18"/>
              </w:rPr>
              <w:t>at</w:t>
            </w:r>
            <w:proofErr w:type="gramEnd"/>
            <w:r w:rsidRPr="00EB58B1">
              <w:rPr>
                <w:rFonts w:ascii="Arial" w:eastAsia="Times New Roman" w:hAnsi="Arial" w:cs="Arial"/>
                <w:b/>
                <w:bCs/>
                <w:color w:val="000000"/>
                <w:sz w:val="18"/>
                <w:szCs w:val="18"/>
              </w:rPr>
              <w:t xml:space="preserve"> 30 June 2020</w:t>
            </w:r>
          </w:p>
        </w:tc>
      </w:tr>
      <w:tr w:rsidR="0060258E" w:rsidRPr="007706F5" w14:paraId="68DB91BB" w14:textId="614ECF9F" w:rsidTr="0060258E">
        <w:trPr>
          <w:cantSplit/>
          <w:trHeight w:val="376"/>
        </w:trPr>
        <w:tc>
          <w:tcPr>
            <w:tcW w:w="817" w:type="dxa"/>
            <w:shd w:val="clear" w:color="auto" w:fill="95B3D7"/>
            <w:noWrap/>
            <w:vAlign w:val="center"/>
            <w:hideMark/>
          </w:tcPr>
          <w:p w14:paraId="4ADF1374"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1</w:t>
            </w:r>
          </w:p>
        </w:tc>
        <w:tc>
          <w:tcPr>
            <w:tcW w:w="2013" w:type="dxa"/>
            <w:vAlign w:val="center"/>
          </w:tcPr>
          <w:p w14:paraId="187BD01A"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$69,600</w:t>
            </w:r>
          </w:p>
        </w:tc>
        <w:tc>
          <w:tcPr>
            <w:tcW w:w="2835" w:type="dxa"/>
            <w:vAlign w:val="center"/>
          </w:tcPr>
          <w:p w14:paraId="60EB2938"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10</w:t>
            </w:r>
          </w:p>
        </w:tc>
        <w:tc>
          <w:tcPr>
            <w:tcW w:w="3402" w:type="dxa"/>
            <w:vAlign w:val="center"/>
          </w:tcPr>
          <w:p w14:paraId="389936E4" w14:textId="76906BC1"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4</w:t>
            </w:r>
          </w:p>
        </w:tc>
      </w:tr>
      <w:tr w:rsidR="0060258E" w:rsidRPr="007706F5" w14:paraId="7BF63809" w14:textId="4DF6E506" w:rsidTr="0060258E">
        <w:trPr>
          <w:cantSplit/>
          <w:trHeight w:val="165"/>
        </w:trPr>
        <w:tc>
          <w:tcPr>
            <w:tcW w:w="817" w:type="dxa"/>
            <w:shd w:val="clear" w:color="auto" w:fill="95B3D7"/>
            <w:noWrap/>
            <w:vAlign w:val="center"/>
            <w:hideMark/>
          </w:tcPr>
          <w:p w14:paraId="4A72A905"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w:t>
            </w:r>
          </w:p>
        </w:tc>
        <w:tc>
          <w:tcPr>
            <w:tcW w:w="2013" w:type="dxa"/>
            <w:vAlign w:val="center"/>
          </w:tcPr>
          <w:p w14:paraId="271F331E"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$72,200</w:t>
            </w:r>
          </w:p>
        </w:tc>
        <w:tc>
          <w:tcPr>
            <w:tcW w:w="2835" w:type="dxa"/>
            <w:vAlign w:val="center"/>
          </w:tcPr>
          <w:p w14:paraId="72F8C7E8"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36</w:t>
            </w:r>
          </w:p>
        </w:tc>
        <w:tc>
          <w:tcPr>
            <w:tcW w:w="3402" w:type="dxa"/>
            <w:vAlign w:val="center"/>
          </w:tcPr>
          <w:p w14:paraId="4D1A1075" w14:textId="3D1DBB6A"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18</w:t>
            </w:r>
          </w:p>
        </w:tc>
      </w:tr>
      <w:tr w:rsidR="0060258E" w:rsidRPr="007706F5" w14:paraId="0B750140" w14:textId="1FC6FECD" w:rsidTr="0060258E">
        <w:trPr>
          <w:cantSplit/>
          <w:trHeight w:val="165"/>
        </w:trPr>
        <w:tc>
          <w:tcPr>
            <w:tcW w:w="817" w:type="dxa"/>
            <w:shd w:val="clear" w:color="auto" w:fill="95B3D7"/>
            <w:noWrap/>
            <w:vAlign w:val="center"/>
            <w:hideMark/>
          </w:tcPr>
          <w:p w14:paraId="2FD0A1D0"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3</w:t>
            </w:r>
          </w:p>
        </w:tc>
        <w:tc>
          <w:tcPr>
            <w:tcW w:w="2013" w:type="dxa"/>
            <w:vAlign w:val="center"/>
          </w:tcPr>
          <w:p w14:paraId="32868679"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$73,900</w:t>
            </w:r>
          </w:p>
        </w:tc>
        <w:tc>
          <w:tcPr>
            <w:tcW w:w="2835" w:type="dxa"/>
            <w:vAlign w:val="center"/>
          </w:tcPr>
          <w:p w14:paraId="6DE19484"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23</w:t>
            </w:r>
          </w:p>
        </w:tc>
        <w:tc>
          <w:tcPr>
            <w:tcW w:w="3402" w:type="dxa"/>
            <w:vAlign w:val="center"/>
          </w:tcPr>
          <w:p w14:paraId="020B6D84"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28</w:t>
            </w:r>
          </w:p>
        </w:tc>
      </w:tr>
      <w:tr w:rsidR="0060258E" w:rsidRPr="007706F5" w14:paraId="4695BFE3" w14:textId="0BFD1E70" w:rsidTr="0060258E">
        <w:trPr>
          <w:cantSplit/>
          <w:trHeight w:val="165"/>
        </w:trPr>
        <w:tc>
          <w:tcPr>
            <w:tcW w:w="817" w:type="dxa"/>
            <w:shd w:val="clear" w:color="auto" w:fill="95B3D7"/>
            <w:noWrap/>
            <w:vAlign w:val="center"/>
            <w:hideMark/>
          </w:tcPr>
          <w:p w14:paraId="22BDB2BF"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4</w:t>
            </w:r>
          </w:p>
        </w:tc>
        <w:tc>
          <w:tcPr>
            <w:tcW w:w="2013" w:type="dxa"/>
            <w:vAlign w:val="center"/>
          </w:tcPr>
          <w:p w14:paraId="3D387A2A"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$76,400</w:t>
            </w:r>
          </w:p>
        </w:tc>
        <w:tc>
          <w:tcPr>
            <w:tcW w:w="2835" w:type="dxa"/>
            <w:vAlign w:val="center"/>
          </w:tcPr>
          <w:p w14:paraId="3AB36B2F"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24</w:t>
            </w:r>
          </w:p>
        </w:tc>
        <w:tc>
          <w:tcPr>
            <w:tcW w:w="3402" w:type="dxa"/>
            <w:vAlign w:val="center"/>
          </w:tcPr>
          <w:p w14:paraId="1023C052" w14:textId="77777777" w:rsidR="0060258E" w:rsidRPr="00EB58B1" w:rsidRDefault="0060258E" w:rsidP="00F103DC">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43</w:t>
            </w:r>
          </w:p>
        </w:tc>
      </w:tr>
    </w:tbl>
    <w:p w14:paraId="079EF990" w14:textId="1B2D0139" w:rsidR="003C3A2D" w:rsidRPr="00EB58B1" w:rsidRDefault="00C97A67" w:rsidP="00087D7B">
      <w:pPr>
        <w:spacing w:before="240" w:after="240"/>
        <w:rPr>
          <w:rFonts w:ascii="Arial" w:hAnsi="Arial" w:cs="Arial"/>
        </w:rPr>
      </w:pPr>
      <w:r w:rsidRPr="00EB58B1">
        <w:rPr>
          <w:rFonts w:ascii="Arial" w:hAnsi="Arial" w:cs="Arial"/>
        </w:rPr>
        <w:t>The Tribunal</w:t>
      </w:r>
      <w:r w:rsidR="0060258E" w:rsidRPr="00EB58B1">
        <w:rPr>
          <w:rFonts w:ascii="Arial" w:hAnsi="Arial" w:cs="Arial"/>
        </w:rPr>
        <w:t xml:space="preserve"> reiterates its </w:t>
      </w:r>
      <w:r w:rsidR="005E3C1C" w:rsidRPr="00EB58B1">
        <w:rPr>
          <w:rFonts w:ascii="Arial" w:hAnsi="Arial" w:cs="Arial"/>
        </w:rPr>
        <w:t xml:space="preserve">view that </w:t>
      </w:r>
      <w:r w:rsidR="003C3A2D" w:rsidRPr="00EB58B1">
        <w:rPr>
          <w:rFonts w:ascii="Arial" w:hAnsi="Arial" w:cs="Arial"/>
        </w:rPr>
        <w:t>ECA</w:t>
      </w:r>
      <w:r w:rsidR="0060258E" w:rsidRPr="00EB58B1">
        <w:rPr>
          <w:rFonts w:ascii="Arial" w:hAnsi="Arial" w:cs="Arial"/>
        </w:rPr>
        <w:t xml:space="preserve"> bands </w:t>
      </w:r>
      <w:r w:rsidR="005E3C1C" w:rsidRPr="00EB58B1">
        <w:rPr>
          <w:rFonts w:ascii="Arial" w:hAnsi="Arial" w:cs="Arial"/>
        </w:rPr>
        <w:t>should</w:t>
      </w:r>
      <w:r w:rsidR="0060258E" w:rsidRPr="00EB58B1">
        <w:rPr>
          <w:rFonts w:ascii="Arial" w:hAnsi="Arial" w:cs="Arial"/>
        </w:rPr>
        <w:t xml:space="preserve"> be differentiated based on</w:t>
      </w:r>
      <w:r w:rsidR="005E3C1C" w:rsidRPr="00EB58B1">
        <w:rPr>
          <w:rFonts w:ascii="Arial" w:hAnsi="Arial" w:cs="Arial"/>
        </w:rPr>
        <w:t xml:space="preserve"> both</w:t>
      </w:r>
      <w:r w:rsidR="0060258E" w:rsidRPr="00EB58B1">
        <w:rPr>
          <w:rFonts w:ascii="Arial" w:hAnsi="Arial" w:cs="Arial"/>
        </w:rPr>
        <w:t xml:space="preserve"> electoral roll</w:t>
      </w:r>
      <w:r w:rsidR="003C3A2D" w:rsidRPr="00EB58B1">
        <w:rPr>
          <w:rFonts w:ascii="Arial" w:hAnsi="Arial" w:cs="Arial"/>
        </w:rPr>
        <w:t xml:space="preserve"> figures</w:t>
      </w:r>
      <w:r w:rsidR="0060258E" w:rsidRPr="00EB58B1">
        <w:rPr>
          <w:rFonts w:ascii="Arial" w:hAnsi="Arial" w:cs="Arial"/>
        </w:rPr>
        <w:t xml:space="preserve"> and area of electorate</w:t>
      </w:r>
      <w:r w:rsidR="003C3A2D" w:rsidRPr="00EB58B1">
        <w:rPr>
          <w:rFonts w:ascii="Arial" w:hAnsi="Arial" w:cs="Arial"/>
        </w:rPr>
        <w:t xml:space="preserve"> (km</w:t>
      </w:r>
      <w:r w:rsidR="003C3A2D" w:rsidRPr="00EB58B1">
        <w:rPr>
          <w:rFonts w:ascii="Arial" w:hAnsi="Arial" w:cs="Arial"/>
          <w:vertAlign w:val="superscript"/>
        </w:rPr>
        <w:t>2</w:t>
      </w:r>
      <w:r w:rsidR="003C3A2D" w:rsidRPr="00EB58B1">
        <w:rPr>
          <w:rFonts w:ascii="Arial" w:hAnsi="Arial" w:cs="Arial"/>
        </w:rPr>
        <w:t>)</w:t>
      </w:r>
      <w:r w:rsidR="004C01B6" w:rsidRPr="00EB58B1">
        <w:rPr>
          <w:rFonts w:ascii="Arial" w:hAnsi="Arial" w:cs="Arial"/>
        </w:rPr>
        <w:t>; t</w:t>
      </w:r>
      <w:r w:rsidR="003C3A2D" w:rsidRPr="00EB58B1">
        <w:rPr>
          <w:rFonts w:ascii="Arial" w:hAnsi="Arial" w:cs="Arial"/>
        </w:rPr>
        <w:t xml:space="preserve">hat is, electorates with larger population and </w:t>
      </w:r>
      <w:r w:rsidR="005E3C1C" w:rsidRPr="00EB58B1">
        <w:rPr>
          <w:rFonts w:ascii="Arial" w:hAnsi="Arial" w:cs="Arial"/>
        </w:rPr>
        <w:t xml:space="preserve">larger </w:t>
      </w:r>
      <w:r w:rsidR="003C3A2D" w:rsidRPr="00EB58B1">
        <w:rPr>
          <w:rFonts w:ascii="Arial" w:hAnsi="Arial" w:cs="Arial"/>
        </w:rPr>
        <w:t xml:space="preserve">area </w:t>
      </w:r>
      <w:r w:rsidR="005E3C1C" w:rsidRPr="00EB58B1">
        <w:rPr>
          <w:rFonts w:ascii="Arial" w:hAnsi="Arial" w:cs="Arial"/>
        </w:rPr>
        <w:t xml:space="preserve">should be in </w:t>
      </w:r>
      <w:r w:rsidR="003C3A2D" w:rsidRPr="00EB58B1">
        <w:rPr>
          <w:rFonts w:ascii="Arial" w:hAnsi="Arial" w:cs="Arial"/>
        </w:rPr>
        <w:t xml:space="preserve">higher bands </w:t>
      </w:r>
      <w:r w:rsidR="005E3C1C" w:rsidRPr="00EB58B1">
        <w:rPr>
          <w:rFonts w:ascii="Arial" w:hAnsi="Arial" w:cs="Arial"/>
        </w:rPr>
        <w:t xml:space="preserve">with higher ECA amounts </w:t>
      </w:r>
      <w:r w:rsidR="003C3A2D" w:rsidRPr="00EB58B1">
        <w:rPr>
          <w:rFonts w:ascii="Arial" w:hAnsi="Arial" w:cs="Arial"/>
        </w:rPr>
        <w:t>and electorates with smaller population and</w:t>
      </w:r>
      <w:r w:rsidR="005E3C1C" w:rsidRPr="00EB58B1">
        <w:rPr>
          <w:rFonts w:ascii="Arial" w:hAnsi="Arial" w:cs="Arial"/>
        </w:rPr>
        <w:t xml:space="preserve"> smaller</w:t>
      </w:r>
      <w:r w:rsidR="003C3A2D" w:rsidRPr="00EB58B1">
        <w:rPr>
          <w:rFonts w:ascii="Arial" w:hAnsi="Arial" w:cs="Arial"/>
        </w:rPr>
        <w:t xml:space="preserve"> area in lower bands</w:t>
      </w:r>
      <w:r w:rsidR="005E3C1C" w:rsidRPr="00EB58B1">
        <w:rPr>
          <w:rFonts w:ascii="Arial" w:hAnsi="Arial" w:cs="Arial"/>
        </w:rPr>
        <w:t xml:space="preserve"> with smaller ECA amounts</w:t>
      </w:r>
      <w:r w:rsidR="003C3A2D" w:rsidRPr="00EB58B1">
        <w:rPr>
          <w:rFonts w:ascii="Arial" w:hAnsi="Arial" w:cs="Arial"/>
        </w:rPr>
        <w:t>.</w:t>
      </w:r>
    </w:p>
    <w:p w14:paraId="6CB83634" w14:textId="04501182" w:rsidR="004C01B6" w:rsidRPr="00EB58B1" w:rsidRDefault="0060258E" w:rsidP="00087D7B">
      <w:pPr>
        <w:spacing w:before="240" w:after="240"/>
        <w:rPr>
          <w:rFonts w:ascii="Arial" w:hAnsi="Arial" w:cs="Arial"/>
        </w:rPr>
      </w:pPr>
      <w:r w:rsidRPr="00EB58B1">
        <w:rPr>
          <w:rFonts w:ascii="Arial" w:hAnsi="Arial" w:cs="Arial"/>
        </w:rPr>
        <w:t xml:space="preserve">With voter registration figures continuing to increase the Tribunal notes that at some point there will be </w:t>
      </w:r>
      <w:r w:rsidR="00A146D5" w:rsidRPr="00EB58B1">
        <w:rPr>
          <w:rFonts w:ascii="Arial" w:hAnsi="Arial" w:cs="Arial"/>
        </w:rPr>
        <w:t>few</w:t>
      </w:r>
      <w:r w:rsidRPr="00EB58B1">
        <w:rPr>
          <w:rFonts w:ascii="Arial" w:hAnsi="Arial" w:cs="Arial"/>
        </w:rPr>
        <w:t xml:space="preserve"> electorates in </w:t>
      </w:r>
      <w:r w:rsidR="00945CAE" w:rsidRPr="00EB58B1">
        <w:rPr>
          <w:rFonts w:ascii="Arial" w:hAnsi="Arial" w:cs="Arial"/>
        </w:rPr>
        <w:t>band</w:t>
      </w:r>
      <w:r w:rsidR="00B61BB8" w:rsidRPr="00EB58B1">
        <w:rPr>
          <w:rFonts w:ascii="Arial" w:hAnsi="Arial" w:cs="Arial"/>
        </w:rPr>
        <w:t>s</w:t>
      </w:r>
      <w:r w:rsidRPr="00EB58B1">
        <w:rPr>
          <w:rFonts w:ascii="Arial" w:hAnsi="Arial" w:cs="Arial"/>
        </w:rPr>
        <w:t xml:space="preserve"> 1</w:t>
      </w:r>
      <w:r w:rsidR="00B61BB8" w:rsidRPr="00EB58B1">
        <w:rPr>
          <w:rFonts w:ascii="Arial" w:hAnsi="Arial" w:cs="Arial"/>
        </w:rPr>
        <w:t xml:space="preserve"> and 2</w:t>
      </w:r>
      <w:r w:rsidRPr="00EB58B1">
        <w:rPr>
          <w:rFonts w:ascii="Arial" w:hAnsi="Arial" w:cs="Arial"/>
        </w:rPr>
        <w:t xml:space="preserve"> and </w:t>
      </w:r>
      <w:proofErr w:type="gramStart"/>
      <w:r w:rsidRPr="00EB58B1">
        <w:rPr>
          <w:rFonts w:ascii="Arial" w:hAnsi="Arial" w:cs="Arial"/>
        </w:rPr>
        <w:t>the majority of</w:t>
      </w:r>
      <w:proofErr w:type="gramEnd"/>
      <w:r w:rsidRPr="00EB58B1">
        <w:rPr>
          <w:rFonts w:ascii="Arial" w:hAnsi="Arial" w:cs="Arial"/>
        </w:rPr>
        <w:t xml:space="preserve"> electorates in </w:t>
      </w:r>
      <w:r w:rsidR="00945CAE" w:rsidRPr="00EB58B1">
        <w:rPr>
          <w:rFonts w:ascii="Arial" w:hAnsi="Arial" w:cs="Arial"/>
        </w:rPr>
        <w:t>band</w:t>
      </w:r>
      <w:r w:rsidRPr="00EB58B1">
        <w:rPr>
          <w:rFonts w:ascii="Arial" w:hAnsi="Arial" w:cs="Arial"/>
        </w:rPr>
        <w:t>s 3 and 4</w:t>
      </w:r>
      <w:r w:rsidR="004C01B6" w:rsidRPr="00EB58B1">
        <w:rPr>
          <w:rFonts w:ascii="Arial" w:hAnsi="Arial" w:cs="Arial"/>
        </w:rPr>
        <w:t>. T</w:t>
      </w:r>
      <w:r w:rsidR="00B61BB8" w:rsidRPr="00EB58B1">
        <w:rPr>
          <w:rFonts w:ascii="Arial" w:hAnsi="Arial" w:cs="Arial"/>
        </w:rPr>
        <w:t xml:space="preserve">he Tribunal is of the view that the majority of </w:t>
      </w:r>
      <w:r w:rsidR="004C01B6" w:rsidRPr="00EB58B1">
        <w:rPr>
          <w:rFonts w:ascii="Arial" w:hAnsi="Arial" w:cs="Arial"/>
        </w:rPr>
        <w:t xml:space="preserve">electorates in higher </w:t>
      </w:r>
      <w:r w:rsidR="00945CAE" w:rsidRPr="00EB58B1">
        <w:rPr>
          <w:rFonts w:ascii="Arial" w:hAnsi="Arial" w:cs="Arial"/>
        </w:rPr>
        <w:t>band</w:t>
      </w:r>
      <w:r w:rsidR="004C01B6" w:rsidRPr="00EB58B1">
        <w:rPr>
          <w:rFonts w:ascii="Arial" w:hAnsi="Arial" w:cs="Arial"/>
        </w:rPr>
        <w:t>s of the ECA negates the impact of both population and area on the relevant band and ECA amount</w:t>
      </w:r>
      <w:r w:rsidR="00B61BB8" w:rsidRPr="00EB58B1">
        <w:rPr>
          <w:rFonts w:ascii="Arial" w:hAnsi="Arial" w:cs="Arial"/>
        </w:rPr>
        <w:t xml:space="preserve"> and does not reflect the reasonable expenses incurred by a member in servicing their electorate. </w:t>
      </w:r>
      <w:r w:rsidR="004C01B6" w:rsidRPr="00EB58B1">
        <w:rPr>
          <w:rFonts w:ascii="Arial" w:hAnsi="Arial" w:cs="Arial"/>
        </w:rPr>
        <w:t xml:space="preserve"> </w:t>
      </w:r>
    </w:p>
    <w:p w14:paraId="58F8AD1B" w14:textId="327EA9D5" w:rsidR="00A146D5" w:rsidRPr="00EB58B1" w:rsidRDefault="0060258E" w:rsidP="00087D7B">
      <w:pPr>
        <w:spacing w:before="240" w:after="240"/>
        <w:rPr>
          <w:rFonts w:ascii="Arial" w:hAnsi="Arial" w:cs="Arial"/>
        </w:rPr>
      </w:pPr>
      <w:r w:rsidRPr="00EB58B1">
        <w:rPr>
          <w:rFonts w:ascii="Arial" w:hAnsi="Arial" w:cs="Arial"/>
        </w:rPr>
        <w:t xml:space="preserve">Accordingly, the Tribunal has </w:t>
      </w:r>
      <w:r w:rsidR="005E3C1C" w:rsidRPr="00EB58B1">
        <w:rPr>
          <w:rFonts w:ascii="Arial" w:hAnsi="Arial" w:cs="Arial"/>
        </w:rPr>
        <w:t xml:space="preserve">decided to </w:t>
      </w:r>
      <w:r w:rsidRPr="00EB58B1">
        <w:rPr>
          <w:rFonts w:ascii="Arial" w:hAnsi="Arial" w:cs="Arial"/>
        </w:rPr>
        <w:t>re-</w:t>
      </w:r>
      <w:r w:rsidR="005E3C1C" w:rsidRPr="00EB58B1">
        <w:rPr>
          <w:rFonts w:ascii="Arial" w:hAnsi="Arial" w:cs="Arial"/>
        </w:rPr>
        <w:t>set</w:t>
      </w:r>
      <w:r w:rsidRPr="00EB58B1">
        <w:rPr>
          <w:rFonts w:ascii="Arial" w:hAnsi="Arial" w:cs="Arial"/>
        </w:rPr>
        <w:t xml:space="preserve"> the </w:t>
      </w:r>
      <w:r w:rsidR="005E3C1C" w:rsidRPr="00EB58B1">
        <w:rPr>
          <w:rFonts w:ascii="Arial" w:hAnsi="Arial" w:cs="Arial"/>
        </w:rPr>
        <w:t xml:space="preserve">ECA </w:t>
      </w:r>
      <w:r w:rsidRPr="00EB58B1">
        <w:rPr>
          <w:rFonts w:ascii="Arial" w:hAnsi="Arial" w:cs="Arial"/>
        </w:rPr>
        <w:t xml:space="preserve">bands to ensure </w:t>
      </w:r>
      <w:r w:rsidR="004C01B6" w:rsidRPr="00EB58B1">
        <w:rPr>
          <w:rFonts w:ascii="Arial" w:hAnsi="Arial" w:cs="Arial"/>
        </w:rPr>
        <w:t xml:space="preserve">there is a more balanced distribution of electorates across the bands and </w:t>
      </w:r>
      <w:r w:rsidRPr="00EB58B1">
        <w:rPr>
          <w:rFonts w:ascii="Arial" w:hAnsi="Arial" w:cs="Arial"/>
        </w:rPr>
        <w:t>that no members are disadvantaged in terms of the amount of the allowance</w:t>
      </w:r>
      <w:r w:rsidR="004C01B6" w:rsidRPr="00EB58B1">
        <w:rPr>
          <w:rFonts w:ascii="Arial" w:hAnsi="Arial" w:cs="Arial"/>
        </w:rPr>
        <w:t>.</w:t>
      </w:r>
      <w:r w:rsidRPr="00EB58B1">
        <w:rPr>
          <w:rFonts w:ascii="Arial" w:hAnsi="Arial" w:cs="Arial"/>
        </w:rPr>
        <w:t xml:space="preserve"> To achieve this, the Tribunal has decided to merge </w:t>
      </w:r>
      <w:r w:rsidR="00945CAE" w:rsidRPr="00EB58B1">
        <w:rPr>
          <w:rFonts w:ascii="Arial" w:hAnsi="Arial" w:cs="Arial"/>
        </w:rPr>
        <w:t>band</w:t>
      </w:r>
      <w:r w:rsidRPr="00EB58B1">
        <w:rPr>
          <w:rFonts w:ascii="Arial" w:hAnsi="Arial" w:cs="Arial"/>
        </w:rPr>
        <w:t xml:space="preserve">s 1 and 2 into a new </w:t>
      </w:r>
      <w:r w:rsidR="00945CAE" w:rsidRPr="00EB58B1">
        <w:rPr>
          <w:rFonts w:ascii="Arial" w:hAnsi="Arial" w:cs="Arial"/>
        </w:rPr>
        <w:t>band</w:t>
      </w:r>
      <w:r w:rsidRPr="00EB58B1">
        <w:rPr>
          <w:rFonts w:ascii="Arial" w:hAnsi="Arial" w:cs="Arial"/>
        </w:rPr>
        <w:t xml:space="preserve"> 1</w:t>
      </w:r>
      <w:r w:rsidR="00087D7B" w:rsidRPr="00EB58B1">
        <w:rPr>
          <w:rFonts w:ascii="Arial" w:hAnsi="Arial" w:cs="Arial"/>
        </w:rPr>
        <w:t xml:space="preserve"> at the </w:t>
      </w:r>
      <w:r w:rsidR="00945CAE" w:rsidRPr="00EB58B1">
        <w:rPr>
          <w:rFonts w:ascii="Arial" w:hAnsi="Arial" w:cs="Arial"/>
        </w:rPr>
        <w:t>band</w:t>
      </w:r>
      <w:r w:rsidR="00087D7B" w:rsidRPr="00EB58B1">
        <w:rPr>
          <w:rFonts w:ascii="Arial" w:hAnsi="Arial" w:cs="Arial"/>
        </w:rPr>
        <w:t xml:space="preserve"> 2 rate of the</w:t>
      </w:r>
      <w:r w:rsidRPr="00EB58B1">
        <w:rPr>
          <w:rFonts w:ascii="Arial" w:hAnsi="Arial" w:cs="Arial"/>
        </w:rPr>
        <w:t xml:space="preserve"> ECA</w:t>
      </w:r>
      <w:r w:rsidR="00087D7B" w:rsidRPr="00EB58B1">
        <w:rPr>
          <w:rFonts w:ascii="Arial" w:hAnsi="Arial" w:cs="Arial"/>
        </w:rPr>
        <w:t xml:space="preserve"> and add a new </w:t>
      </w:r>
      <w:r w:rsidR="00945CAE" w:rsidRPr="00EB58B1">
        <w:rPr>
          <w:rFonts w:ascii="Arial" w:hAnsi="Arial" w:cs="Arial"/>
        </w:rPr>
        <w:t>band</w:t>
      </w:r>
      <w:r w:rsidR="00087D7B" w:rsidRPr="00EB58B1">
        <w:rPr>
          <w:rFonts w:ascii="Arial" w:hAnsi="Arial" w:cs="Arial"/>
        </w:rPr>
        <w:t xml:space="preserve"> 4. </w:t>
      </w:r>
    </w:p>
    <w:p w14:paraId="6B78AB02" w14:textId="55064005" w:rsidR="00A146D5" w:rsidRPr="00EB58B1" w:rsidRDefault="00A146D5" w:rsidP="00A146D5">
      <w:pPr>
        <w:spacing w:before="240"/>
        <w:rPr>
          <w:rFonts w:ascii="Arial" w:hAnsi="Arial" w:cs="Arial"/>
        </w:rPr>
      </w:pPr>
      <w:r w:rsidRPr="00EB58B1">
        <w:rPr>
          <w:rFonts w:ascii="Arial" w:hAnsi="Arial" w:cs="Arial"/>
        </w:rPr>
        <w:t>To determine the amount of the</w:t>
      </w:r>
      <w:r w:rsidR="00D8355D" w:rsidRPr="00EB58B1">
        <w:rPr>
          <w:rFonts w:ascii="Arial" w:hAnsi="Arial" w:cs="Arial"/>
        </w:rPr>
        <w:t xml:space="preserve"> ECA for the</w:t>
      </w:r>
      <w:r w:rsidRPr="00EB58B1">
        <w:rPr>
          <w:rFonts w:ascii="Arial" w:hAnsi="Arial" w:cs="Arial"/>
        </w:rPr>
        <w:t xml:space="preserve"> new </w:t>
      </w:r>
      <w:r w:rsidR="00945CAE" w:rsidRPr="00EB58B1">
        <w:rPr>
          <w:rFonts w:ascii="Arial" w:hAnsi="Arial" w:cs="Arial"/>
        </w:rPr>
        <w:t>band</w:t>
      </w:r>
      <w:r w:rsidRPr="00EB58B1">
        <w:rPr>
          <w:rFonts w:ascii="Arial" w:hAnsi="Arial" w:cs="Arial"/>
        </w:rPr>
        <w:t xml:space="preserve"> 4, the Tribunal has considered the amounts of the ECA for the existing bands and the impact of </w:t>
      </w:r>
      <w:r w:rsidR="00D8355D" w:rsidRPr="00EB58B1">
        <w:rPr>
          <w:rFonts w:ascii="Arial" w:hAnsi="Arial" w:cs="Arial"/>
        </w:rPr>
        <w:t xml:space="preserve">higher </w:t>
      </w:r>
      <w:r w:rsidR="001F2827" w:rsidRPr="00EB58B1">
        <w:rPr>
          <w:rFonts w:ascii="Arial" w:hAnsi="Arial" w:cs="Arial"/>
        </w:rPr>
        <w:t xml:space="preserve">electoral roll figures </w:t>
      </w:r>
      <w:r w:rsidRPr="00EB58B1">
        <w:rPr>
          <w:rFonts w:ascii="Arial" w:hAnsi="Arial" w:cs="Arial"/>
        </w:rPr>
        <w:t xml:space="preserve">and </w:t>
      </w:r>
      <w:r w:rsidR="001F2827" w:rsidRPr="00EB58B1">
        <w:rPr>
          <w:rFonts w:ascii="Arial" w:hAnsi="Arial" w:cs="Arial"/>
        </w:rPr>
        <w:t>electorate area</w:t>
      </w:r>
      <w:r w:rsidRPr="00EB58B1">
        <w:rPr>
          <w:rFonts w:ascii="Arial" w:hAnsi="Arial" w:cs="Arial"/>
        </w:rPr>
        <w:t xml:space="preserve"> on </w:t>
      </w:r>
      <w:r w:rsidR="00D8355D" w:rsidRPr="00EB58B1">
        <w:rPr>
          <w:rFonts w:ascii="Arial" w:hAnsi="Arial" w:cs="Arial"/>
        </w:rPr>
        <w:t xml:space="preserve">expenditure from the </w:t>
      </w:r>
      <w:r w:rsidRPr="00EB58B1">
        <w:rPr>
          <w:rFonts w:ascii="Arial" w:hAnsi="Arial" w:cs="Arial"/>
        </w:rPr>
        <w:t xml:space="preserve">ECA and decided that the new </w:t>
      </w:r>
      <w:r w:rsidR="00945CAE" w:rsidRPr="00EB58B1">
        <w:rPr>
          <w:rFonts w:ascii="Arial" w:hAnsi="Arial" w:cs="Arial"/>
        </w:rPr>
        <w:t>band</w:t>
      </w:r>
      <w:r w:rsidRPr="00EB58B1">
        <w:rPr>
          <w:rFonts w:ascii="Arial" w:hAnsi="Arial" w:cs="Arial"/>
        </w:rPr>
        <w:t xml:space="preserve"> 4 amount will be set at $78,200. </w:t>
      </w:r>
    </w:p>
    <w:p w14:paraId="07543608" w14:textId="200973B4" w:rsidR="00087D7B" w:rsidRPr="00EB58B1" w:rsidRDefault="001F2827" w:rsidP="00087D7B">
      <w:pPr>
        <w:spacing w:before="240" w:after="240"/>
        <w:rPr>
          <w:rFonts w:ascii="Arial" w:hAnsi="Arial" w:cs="Arial"/>
        </w:rPr>
      </w:pPr>
      <w:r w:rsidRPr="00EB58B1">
        <w:rPr>
          <w:rFonts w:ascii="Arial" w:hAnsi="Arial" w:cs="Arial"/>
        </w:rPr>
        <w:t xml:space="preserve">The </w:t>
      </w:r>
      <w:r w:rsidR="00D8355D" w:rsidRPr="00EB58B1">
        <w:rPr>
          <w:rFonts w:ascii="Arial" w:hAnsi="Arial" w:cs="Arial"/>
        </w:rPr>
        <w:t xml:space="preserve">proposed </w:t>
      </w:r>
      <w:r w:rsidRPr="00EB58B1">
        <w:rPr>
          <w:rFonts w:ascii="Arial" w:hAnsi="Arial" w:cs="Arial"/>
        </w:rPr>
        <w:t>band adjustments</w:t>
      </w:r>
      <w:r w:rsidR="00087D7B" w:rsidRPr="00EB58B1">
        <w:rPr>
          <w:rFonts w:ascii="Arial" w:hAnsi="Arial" w:cs="Arial"/>
        </w:rPr>
        <w:t xml:space="preserve"> result in the following: </w:t>
      </w:r>
    </w:p>
    <w:tbl>
      <w:tblPr>
        <w:tblStyle w:val="TableGrid"/>
        <w:tblW w:w="9351" w:type="dxa"/>
        <w:tblLook w:val="04A0" w:firstRow="1" w:lastRow="0" w:firstColumn="1" w:lastColumn="0" w:noHBand="0" w:noVBand="1"/>
      </w:tblPr>
      <w:tblGrid>
        <w:gridCol w:w="1696"/>
        <w:gridCol w:w="2410"/>
        <w:gridCol w:w="2552"/>
        <w:gridCol w:w="2693"/>
      </w:tblGrid>
      <w:tr w:rsidR="00087D7B" w:rsidRPr="007706F5" w14:paraId="73C14701" w14:textId="77777777" w:rsidTr="00087D7B">
        <w:trPr>
          <w:trHeight w:val="255"/>
        </w:trPr>
        <w:tc>
          <w:tcPr>
            <w:tcW w:w="1696" w:type="dxa"/>
            <w:shd w:val="clear" w:color="auto" w:fill="95B3D7"/>
            <w:noWrap/>
            <w:hideMark/>
          </w:tcPr>
          <w:p w14:paraId="7E05CAD6" w14:textId="77777777" w:rsidR="00087D7B" w:rsidRPr="00EB58B1" w:rsidRDefault="00087D7B" w:rsidP="004F75EF">
            <w:pPr>
              <w:rPr>
                <w:rFonts w:ascii="Arial" w:eastAsia="Times New Roman" w:hAnsi="Arial" w:cs="Arial"/>
                <w:b/>
                <w:bCs/>
                <w:color w:val="000000"/>
                <w:sz w:val="17"/>
                <w:szCs w:val="17"/>
              </w:rPr>
            </w:pPr>
            <w:r w:rsidRPr="00EB58B1">
              <w:rPr>
                <w:rFonts w:ascii="Arial" w:eastAsia="Times New Roman" w:hAnsi="Arial" w:cs="Arial"/>
                <w:b/>
                <w:bCs/>
                <w:color w:val="000000"/>
                <w:sz w:val="17"/>
                <w:szCs w:val="17"/>
              </w:rPr>
              <w:t xml:space="preserve">Band </w:t>
            </w:r>
          </w:p>
        </w:tc>
        <w:tc>
          <w:tcPr>
            <w:tcW w:w="2410" w:type="dxa"/>
            <w:shd w:val="clear" w:color="auto" w:fill="95B3D7"/>
          </w:tcPr>
          <w:p w14:paraId="16E3FDC5" w14:textId="1DFC46C7" w:rsidR="00087D7B" w:rsidRPr="00EB58B1" w:rsidRDefault="00087D7B" w:rsidP="004F75EF">
            <w:pPr>
              <w:rPr>
                <w:rFonts w:ascii="Arial" w:eastAsia="Times New Roman" w:hAnsi="Arial" w:cs="Arial"/>
                <w:b/>
                <w:bCs/>
                <w:color w:val="000000"/>
                <w:sz w:val="17"/>
                <w:szCs w:val="17"/>
              </w:rPr>
            </w:pPr>
            <w:r w:rsidRPr="00EB58B1">
              <w:rPr>
                <w:rFonts w:ascii="Arial" w:eastAsia="Times New Roman" w:hAnsi="Arial" w:cs="Arial"/>
                <w:b/>
                <w:bCs/>
                <w:color w:val="000000"/>
                <w:sz w:val="17"/>
                <w:szCs w:val="17"/>
              </w:rPr>
              <w:t>Amount of ECA for each band</w:t>
            </w:r>
          </w:p>
        </w:tc>
        <w:tc>
          <w:tcPr>
            <w:tcW w:w="2552" w:type="dxa"/>
            <w:shd w:val="clear" w:color="auto" w:fill="95B3D7"/>
          </w:tcPr>
          <w:p w14:paraId="438B3BBE" w14:textId="77777777" w:rsidR="00087D7B" w:rsidRPr="00EB58B1" w:rsidRDefault="00087D7B" w:rsidP="004F75EF">
            <w:pPr>
              <w:rPr>
                <w:rFonts w:ascii="Arial" w:eastAsia="Times New Roman" w:hAnsi="Arial" w:cs="Arial"/>
                <w:b/>
                <w:bCs/>
                <w:color w:val="000000"/>
                <w:sz w:val="17"/>
                <w:szCs w:val="17"/>
              </w:rPr>
            </w:pPr>
            <w:r w:rsidRPr="00EB58B1">
              <w:rPr>
                <w:rFonts w:ascii="Arial" w:eastAsia="Times New Roman" w:hAnsi="Arial" w:cs="Arial"/>
                <w:b/>
                <w:bCs/>
                <w:color w:val="000000"/>
                <w:sz w:val="17"/>
                <w:szCs w:val="17"/>
              </w:rPr>
              <w:t>No. of Electorates in each band as at November 2017</w:t>
            </w:r>
          </w:p>
        </w:tc>
        <w:tc>
          <w:tcPr>
            <w:tcW w:w="2693" w:type="dxa"/>
            <w:shd w:val="clear" w:color="auto" w:fill="95B3D7"/>
          </w:tcPr>
          <w:p w14:paraId="4F7FC54F" w14:textId="1790744E" w:rsidR="00087D7B" w:rsidRPr="00EB58B1" w:rsidRDefault="00087D7B" w:rsidP="004F75EF">
            <w:pPr>
              <w:rPr>
                <w:rFonts w:ascii="Arial" w:eastAsia="Times New Roman" w:hAnsi="Arial" w:cs="Arial"/>
                <w:b/>
                <w:bCs/>
                <w:color w:val="000000"/>
                <w:sz w:val="17"/>
                <w:szCs w:val="17"/>
              </w:rPr>
            </w:pPr>
            <w:r w:rsidRPr="00EB58B1">
              <w:rPr>
                <w:rFonts w:ascii="Arial" w:eastAsia="Times New Roman" w:hAnsi="Arial" w:cs="Arial"/>
                <w:b/>
                <w:bCs/>
                <w:color w:val="000000"/>
                <w:sz w:val="17"/>
                <w:szCs w:val="17"/>
              </w:rPr>
              <w:t xml:space="preserve">No. of Electorates in each band as </w:t>
            </w:r>
            <w:proofErr w:type="gramStart"/>
            <w:r w:rsidRPr="00EB58B1">
              <w:rPr>
                <w:rFonts w:ascii="Arial" w:eastAsia="Times New Roman" w:hAnsi="Arial" w:cs="Arial"/>
                <w:b/>
                <w:bCs/>
                <w:color w:val="000000"/>
                <w:sz w:val="17"/>
                <w:szCs w:val="17"/>
              </w:rPr>
              <w:t>at</w:t>
            </w:r>
            <w:proofErr w:type="gramEnd"/>
            <w:r w:rsidRPr="00EB58B1">
              <w:rPr>
                <w:rFonts w:ascii="Arial" w:eastAsia="Times New Roman" w:hAnsi="Arial" w:cs="Arial"/>
                <w:b/>
                <w:bCs/>
                <w:color w:val="000000"/>
                <w:sz w:val="17"/>
                <w:szCs w:val="17"/>
              </w:rPr>
              <w:t xml:space="preserve"> 30 June 2020 with band adjustment</w:t>
            </w:r>
          </w:p>
        </w:tc>
      </w:tr>
      <w:tr w:rsidR="00087D7B" w:rsidRPr="007706F5" w14:paraId="173A2444" w14:textId="77777777" w:rsidTr="00087D7B">
        <w:trPr>
          <w:trHeight w:val="165"/>
        </w:trPr>
        <w:tc>
          <w:tcPr>
            <w:tcW w:w="1696" w:type="dxa"/>
            <w:shd w:val="clear" w:color="auto" w:fill="95B3D7"/>
            <w:noWrap/>
            <w:hideMark/>
          </w:tcPr>
          <w:p w14:paraId="58CDF35D" w14:textId="77777777" w:rsidR="00087D7B" w:rsidRPr="00EB58B1" w:rsidRDefault="00087D7B" w:rsidP="004F75EF">
            <w:pPr>
              <w:jc w:val="center"/>
              <w:rPr>
                <w:rFonts w:ascii="Arial" w:eastAsia="Times New Roman" w:hAnsi="Arial" w:cs="Arial"/>
                <w:b/>
                <w:color w:val="000000"/>
                <w:sz w:val="17"/>
                <w:szCs w:val="17"/>
              </w:rPr>
            </w:pPr>
            <w:r w:rsidRPr="00EB58B1">
              <w:rPr>
                <w:rFonts w:ascii="Arial" w:eastAsia="Times New Roman" w:hAnsi="Arial" w:cs="Arial"/>
                <w:b/>
                <w:color w:val="000000"/>
                <w:sz w:val="17"/>
                <w:szCs w:val="17"/>
              </w:rPr>
              <w:t xml:space="preserve">1 </w:t>
            </w:r>
          </w:p>
          <w:p w14:paraId="6FFE1651" w14:textId="429232DD" w:rsidR="00087D7B" w:rsidRPr="00EB58B1" w:rsidRDefault="00087D7B" w:rsidP="004F75EF">
            <w:pPr>
              <w:jc w:val="center"/>
              <w:rPr>
                <w:rFonts w:ascii="Arial" w:eastAsia="Times New Roman" w:hAnsi="Arial" w:cs="Arial"/>
                <w:color w:val="000000"/>
                <w:sz w:val="17"/>
                <w:szCs w:val="17"/>
              </w:rPr>
            </w:pPr>
            <w:r w:rsidRPr="00EB58B1">
              <w:rPr>
                <w:rFonts w:ascii="Arial" w:eastAsia="Times New Roman" w:hAnsi="Arial" w:cs="Arial"/>
                <w:color w:val="000000"/>
                <w:sz w:val="17"/>
                <w:szCs w:val="17"/>
              </w:rPr>
              <w:t>(</w:t>
            </w:r>
            <w:r w:rsidR="00D8355D" w:rsidRPr="00EB58B1">
              <w:rPr>
                <w:rFonts w:ascii="Arial" w:eastAsia="Times New Roman" w:hAnsi="Arial" w:cs="Arial"/>
                <w:color w:val="000000"/>
                <w:sz w:val="17"/>
                <w:szCs w:val="17"/>
              </w:rPr>
              <w:t>existing B</w:t>
            </w:r>
            <w:r w:rsidRPr="00EB58B1">
              <w:rPr>
                <w:rFonts w:ascii="Arial" w:eastAsia="Times New Roman" w:hAnsi="Arial" w:cs="Arial"/>
                <w:color w:val="000000"/>
                <w:sz w:val="17"/>
                <w:szCs w:val="17"/>
              </w:rPr>
              <w:t>ands 1 and 2 combined)</w:t>
            </w:r>
          </w:p>
        </w:tc>
        <w:tc>
          <w:tcPr>
            <w:tcW w:w="2410" w:type="dxa"/>
          </w:tcPr>
          <w:p w14:paraId="1ADD2A57"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$72,200</w:t>
            </w:r>
          </w:p>
        </w:tc>
        <w:tc>
          <w:tcPr>
            <w:tcW w:w="2552" w:type="dxa"/>
          </w:tcPr>
          <w:p w14:paraId="02205EDC" w14:textId="1464C32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 xml:space="preserve">10 </w:t>
            </w:r>
            <w:r w:rsidR="00945CAE" w:rsidRPr="00EB58B1">
              <w:rPr>
                <w:rFonts w:ascii="Arial" w:eastAsia="Times New Roman" w:hAnsi="Arial" w:cs="Arial"/>
                <w:color w:val="000000"/>
                <w:sz w:val="20"/>
                <w:szCs w:val="20"/>
              </w:rPr>
              <w:t>band</w:t>
            </w:r>
            <w:r w:rsidRPr="00EB58B1">
              <w:rPr>
                <w:rFonts w:ascii="Arial" w:eastAsia="Times New Roman" w:hAnsi="Arial" w:cs="Arial"/>
                <w:color w:val="000000"/>
                <w:sz w:val="20"/>
                <w:szCs w:val="20"/>
              </w:rPr>
              <w:t xml:space="preserve"> 1</w:t>
            </w:r>
          </w:p>
          <w:p w14:paraId="2EE3D49F" w14:textId="16FC9594"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3</w:t>
            </w:r>
            <w:r w:rsidR="00D8355D" w:rsidRPr="00EB58B1">
              <w:rPr>
                <w:rFonts w:ascii="Arial" w:eastAsia="Times New Roman" w:hAnsi="Arial" w:cs="Arial"/>
                <w:color w:val="000000"/>
                <w:sz w:val="20"/>
                <w:szCs w:val="20"/>
              </w:rPr>
              <w:t>6</w:t>
            </w:r>
            <w:r w:rsidRPr="00EB58B1">
              <w:rPr>
                <w:rFonts w:ascii="Arial" w:eastAsia="Times New Roman" w:hAnsi="Arial" w:cs="Arial"/>
                <w:color w:val="000000"/>
                <w:sz w:val="20"/>
                <w:szCs w:val="20"/>
              </w:rPr>
              <w:t xml:space="preserve"> </w:t>
            </w:r>
            <w:r w:rsidR="00945CAE" w:rsidRPr="00EB58B1">
              <w:rPr>
                <w:rFonts w:ascii="Arial" w:eastAsia="Times New Roman" w:hAnsi="Arial" w:cs="Arial"/>
                <w:color w:val="000000"/>
                <w:sz w:val="20"/>
                <w:szCs w:val="20"/>
              </w:rPr>
              <w:t>band</w:t>
            </w:r>
            <w:r w:rsidRPr="00EB58B1">
              <w:rPr>
                <w:rFonts w:ascii="Arial" w:eastAsia="Times New Roman" w:hAnsi="Arial" w:cs="Arial"/>
                <w:color w:val="000000"/>
                <w:sz w:val="20"/>
                <w:szCs w:val="20"/>
              </w:rPr>
              <w:t xml:space="preserve"> 2</w:t>
            </w:r>
          </w:p>
        </w:tc>
        <w:tc>
          <w:tcPr>
            <w:tcW w:w="2693" w:type="dxa"/>
          </w:tcPr>
          <w:p w14:paraId="7560A22A"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22</w:t>
            </w:r>
          </w:p>
        </w:tc>
      </w:tr>
      <w:tr w:rsidR="00087D7B" w:rsidRPr="007706F5" w14:paraId="1E5E9B9F" w14:textId="77777777" w:rsidTr="00087D7B">
        <w:trPr>
          <w:trHeight w:val="165"/>
        </w:trPr>
        <w:tc>
          <w:tcPr>
            <w:tcW w:w="1696" w:type="dxa"/>
            <w:shd w:val="clear" w:color="auto" w:fill="95B3D7"/>
            <w:noWrap/>
            <w:hideMark/>
          </w:tcPr>
          <w:p w14:paraId="2C8DF3AF" w14:textId="77777777" w:rsidR="00087D7B" w:rsidRPr="00EB58B1" w:rsidRDefault="00087D7B" w:rsidP="004F75EF">
            <w:pPr>
              <w:jc w:val="center"/>
              <w:rPr>
                <w:rFonts w:ascii="Arial" w:eastAsia="Times New Roman" w:hAnsi="Arial" w:cs="Arial"/>
                <w:b/>
                <w:color w:val="000000"/>
                <w:sz w:val="17"/>
                <w:szCs w:val="17"/>
              </w:rPr>
            </w:pPr>
            <w:r w:rsidRPr="00EB58B1">
              <w:rPr>
                <w:rFonts w:ascii="Arial" w:eastAsia="Times New Roman" w:hAnsi="Arial" w:cs="Arial"/>
                <w:b/>
                <w:color w:val="000000"/>
                <w:sz w:val="17"/>
                <w:szCs w:val="17"/>
              </w:rPr>
              <w:t xml:space="preserve">2 </w:t>
            </w:r>
          </w:p>
          <w:p w14:paraId="5CCA5624" w14:textId="4CD5537D" w:rsidR="00087D7B" w:rsidRPr="00EB58B1" w:rsidRDefault="00087D7B" w:rsidP="004F75EF">
            <w:pPr>
              <w:jc w:val="center"/>
              <w:rPr>
                <w:rFonts w:ascii="Arial" w:eastAsia="Times New Roman" w:hAnsi="Arial" w:cs="Arial"/>
                <w:color w:val="000000"/>
                <w:sz w:val="17"/>
                <w:szCs w:val="17"/>
              </w:rPr>
            </w:pPr>
            <w:r w:rsidRPr="00EB58B1">
              <w:rPr>
                <w:rFonts w:ascii="Arial" w:eastAsia="Times New Roman" w:hAnsi="Arial" w:cs="Arial"/>
                <w:color w:val="000000"/>
                <w:sz w:val="17"/>
                <w:szCs w:val="17"/>
              </w:rPr>
              <w:t xml:space="preserve">(existing </w:t>
            </w:r>
            <w:r w:rsidR="00D8355D" w:rsidRPr="00EB58B1">
              <w:rPr>
                <w:rFonts w:ascii="Arial" w:eastAsia="Times New Roman" w:hAnsi="Arial" w:cs="Arial"/>
                <w:color w:val="000000"/>
                <w:sz w:val="17"/>
                <w:szCs w:val="17"/>
              </w:rPr>
              <w:t>B</w:t>
            </w:r>
            <w:r w:rsidRPr="00EB58B1">
              <w:rPr>
                <w:rFonts w:ascii="Arial" w:eastAsia="Times New Roman" w:hAnsi="Arial" w:cs="Arial"/>
                <w:color w:val="000000"/>
                <w:sz w:val="17"/>
                <w:szCs w:val="17"/>
              </w:rPr>
              <w:t>and 3)</w:t>
            </w:r>
          </w:p>
        </w:tc>
        <w:tc>
          <w:tcPr>
            <w:tcW w:w="2410" w:type="dxa"/>
          </w:tcPr>
          <w:p w14:paraId="0EDE3856"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$73,900</w:t>
            </w:r>
          </w:p>
        </w:tc>
        <w:tc>
          <w:tcPr>
            <w:tcW w:w="2552" w:type="dxa"/>
          </w:tcPr>
          <w:p w14:paraId="7E23F41C"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23</w:t>
            </w:r>
          </w:p>
        </w:tc>
        <w:tc>
          <w:tcPr>
            <w:tcW w:w="2693" w:type="dxa"/>
          </w:tcPr>
          <w:p w14:paraId="4458D134"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28</w:t>
            </w:r>
          </w:p>
        </w:tc>
      </w:tr>
      <w:tr w:rsidR="00087D7B" w:rsidRPr="007706F5" w14:paraId="0B45C057" w14:textId="77777777" w:rsidTr="00087D7B">
        <w:trPr>
          <w:trHeight w:val="165"/>
        </w:trPr>
        <w:tc>
          <w:tcPr>
            <w:tcW w:w="1696" w:type="dxa"/>
            <w:shd w:val="clear" w:color="auto" w:fill="95B3D7"/>
            <w:noWrap/>
            <w:hideMark/>
          </w:tcPr>
          <w:p w14:paraId="2E84F389" w14:textId="77777777" w:rsidR="00087D7B" w:rsidRPr="00EB58B1" w:rsidRDefault="00087D7B" w:rsidP="004F75EF">
            <w:pPr>
              <w:jc w:val="center"/>
              <w:rPr>
                <w:rFonts w:ascii="Arial" w:eastAsia="Times New Roman" w:hAnsi="Arial" w:cs="Arial"/>
                <w:b/>
                <w:color w:val="000000"/>
                <w:sz w:val="17"/>
                <w:szCs w:val="17"/>
              </w:rPr>
            </w:pPr>
            <w:r w:rsidRPr="00EB58B1">
              <w:rPr>
                <w:rFonts w:ascii="Arial" w:eastAsia="Times New Roman" w:hAnsi="Arial" w:cs="Arial"/>
                <w:b/>
                <w:color w:val="000000"/>
                <w:sz w:val="17"/>
                <w:szCs w:val="17"/>
              </w:rPr>
              <w:t>3</w:t>
            </w:r>
          </w:p>
          <w:p w14:paraId="3D7FA144" w14:textId="66C89A05" w:rsidR="00087D7B" w:rsidRPr="00EB58B1" w:rsidRDefault="00087D7B" w:rsidP="004F75EF">
            <w:pPr>
              <w:jc w:val="center"/>
              <w:rPr>
                <w:rFonts w:ascii="Arial" w:eastAsia="Times New Roman" w:hAnsi="Arial" w:cs="Arial"/>
                <w:color w:val="000000"/>
                <w:sz w:val="17"/>
                <w:szCs w:val="17"/>
              </w:rPr>
            </w:pPr>
            <w:r w:rsidRPr="00EB58B1">
              <w:rPr>
                <w:rFonts w:ascii="Arial" w:eastAsia="Times New Roman" w:hAnsi="Arial" w:cs="Arial"/>
                <w:color w:val="000000"/>
                <w:sz w:val="17"/>
                <w:szCs w:val="17"/>
              </w:rPr>
              <w:t xml:space="preserve">(existing </w:t>
            </w:r>
            <w:r w:rsidR="00D8355D" w:rsidRPr="00EB58B1">
              <w:rPr>
                <w:rFonts w:ascii="Arial" w:eastAsia="Times New Roman" w:hAnsi="Arial" w:cs="Arial"/>
                <w:color w:val="000000"/>
                <w:sz w:val="17"/>
                <w:szCs w:val="17"/>
              </w:rPr>
              <w:t>B</w:t>
            </w:r>
            <w:r w:rsidRPr="00EB58B1">
              <w:rPr>
                <w:rFonts w:ascii="Arial" w:eastAsia="Times New Roman" w:hAnsi="Arial" w:cs="Arial"/>
                <w:color w:val="000000"/>
                <w:sz w:val="17"/>
                <w:szCs w:val="17"/>
              </w:rPr>
              <w:t>and 4)</w:t>
            </w:r>
          </w:p>
        </w:tc>
        <w:tc>
          <w:tcPr>
            <w:tcW w:w="2410" w:type="dxa"/>
          </w:tcPr>
          <w:p w14:paraId="7FFA9212"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$76,400</w:t>
            </w:r>
          </w:p>
        </w:tc>
        <w:tc>
          <w:tcPr>
            <w:tcW w:w="2552" w:type="dxa"/>
          </w:tcPr>
          <w:p w14:paraId="4AC2B2C7"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24</w:t>
            </w:r>
          </w:p>
        </w:tc>
        <w:tc>
          <w:tcPr>
            <w:tcW w:w="2693" w:type="dxa"/>
          </w:tcPr>
          <w:p w14:paraId="2A51480C" w14:textId="77777777"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31</w:t>
            </w:r>
          </w:p>
        </w:tc>
      </w:tr>
      <w:tr w:rsidR="00087D7B" w:rsidRPr="007706F5" w14:paraId="5777DDD0" w14:textId="77777777" w:rsidTr="00087D7B">
        <w:trPr>
          <w:trHeight w:val="165"/>
        </w:trPr>
        <w:tc>
          <w:tcPr>
            <w:tcW w:w="1696" w:type="dxa"/>
            <w:shd w:val="clear" w:color="auto" w:fill="95B3D7"/>
            <w:noWrap/>
            <w:hideMark/>
          </w:tcPr>
          <w:p w14:paraId="0DF08421" w14:textId="77777777" w:rsidR="00087D7B" w:rsidRPr="00EB58B1" w:rsidRDefault="00087D7B" w:rsidP="004F75EF">
            <w:pPr>
              <w:jc w:val="center"/>
              <w:rPr>
                <w:rFonts w:ascii="Arial" w:eastAsia="Times New Roman" w:hAnsi="Arial" w:cs="Arial"/>
                <w:b/>
                <w:color w:val="000000"/>
                <w:sz w:val="17"/>
                <w:szCs w:val="17"/>
              </w:rPr>
            </w:pPr>
            <w:r w:rsidRPr="00EB58B1">
              <w:rPr>
                <w:rFonts w:ascii="Arial" w:eastAsia="Times New Roman" w:hAnsi="Arial" w:cs="Arial"/>
                <w:b/>
                <w:color w:val="000000"/>
                <w:sz w:val="17"/>
                <w:szCs w:val="17"/>
              </w:rPr>
              <w:t>4</w:t>
            </w:r>
          </w:p>
          <w:p w14:paraId="5F099424" w14:textId="2AB41307" w:rsidR="00087D7B" w:rsidRPr="00EB58B1" w:rsidRDefault="00087D7B" w:rsidP="004F75EF">
            <w:pPr>
              <w:jc w:val="center"/>
              <w:rPr>
                <w:rFonts w:ascii="Arial" w:eastAsia="Times New Roman" w:hAnsi="Arial" w:cs="Arial"/>
                <w:color w:val="000000"/>
                <w:sz w:val="17"/>
                <w:szCs w:val="17"/>
              </w:rPr>
            </w:pPr>
            <w:r w:rsidRPr="00EB58B1">
              <w:rPr>
                <w:rFonts w:ascii="Arial" w:eastAsia="Times New Roman" w:hAnsi="Arial" w:cs="Arial"/>
                <w:color w:val="000000"/>
                <w:sz w:val="17"/>
                <w:szCs w:val="17"/>
              </w:rPr>
              <w:t xml:space="preserve">(new </w:t>
            </w:r>
            <w:r w:rsidR="00D8355D" w:rsidRPr="00EB58B1">
              <w:rPr>
                <w:rFonts w:ascii="Arial" w:eastAsia="Times New Roman" w:hAnsi="Arial" w:cs="Arial"/>
                <w:color w:val="000000"/>
                <w:sz w:val="17"/>
                <w:szCs w:val="17"/>
              </w:rPr>
              <w:t>B</w:t>
            </w:r>
            <w:r w:rsidRPr="00EB58B1">
              <w:rPr>
                <w:rFonts w:ascii="Arial" w:eastAsia="Times New Roman" w:hAnsi="Arial" w:cs="Arial"/>
                <w:color w:val="000000"/>
                <w:sz w:val="17"/>
                <w:szCs w:val="17"/>
              </w:rPr>
              <w:t xml:space="preserve">and </w:t>
            </w:r>
            <w:r w:rsidR="00D8355D" w:rsidRPr="00EB58B1">
              <w:rPr>
                <w:rFonts w:ascii="Arial" w:eastAsia="Times New Roman" w:hAnsi="Arial" w:cs="Arial"/>
                <w:color w:val="000000"/>
                <w:sz w:val="17"/>
                <w:szCs w:val="17"/>
              </w:rPr>
              <w:t>4</w:t>
            </w:r>
            <w:r w:rsidRPr="00EB58B1">
              <w:rPr>
                <w:rFonts w:ascii="Arial" w:eastAsia="Times New Roman" w:hAnsi="Arial" w:cs="Arial"/>
                <w:color w:val="000000"/>
                <w:sz w:val="17"/>
                <w:szCs w:val="17"/>
              </w:rPr>
              <w:t>)</w:t>
            </w:r>
          </w:p>
        </w:tc>
        <w:tc>
          <w:tcPr>
            <w:tcW w:w="2410" w:type="dxa"/>
          </w:tcPr>
          <w:p w14:paraId="47EC8812" w14:textId="2A300187" w:rsidR="00087D7B" w:rsidRPr="00EB58B1" w:rsidRDefault="001F2827"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$78,200</w:t>
            </w:r>
          </w:p>
        </w:tc>
        <w:tc>
          <w:tcPr>
            <w:tcW w:w="2552" w:type="dxa"/>
          </w:tcPr>
          <w:p w14:paraId="582CF487" w14:textId="37C27096" w:rsidR="00087D7B" w:rsidRPr="00EB58B1"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NA</w:t>
            </w:r>
          </w:p>
        </w:tc>
        <w:tc>
          <w:tcPr>
            <w:tcW w:w="2693" w:type="dxa"/>
          </w:tcPr>
          <w:p w14:paraId="4FADBEA7" w14:textId="77777777" w:rsidR="00087D7B" w:rsidRPr="007706F5" w:rsidRDefault="00087D7B" w:rsidP="004F75EF">
            <w:pPr>
              <w:rPr>
                <w:rFonts w:ascii="Arial" w:eastAsia="Times New Roman" w:hAnsi="Arial" w:cs="Arial"/>
                <w:color w:val="000000"/>
                <w:sz w:val="20"/>
                <w:szCs w:val="20"/>
              </w:rPr>
            </w:pPr>
            <w:r w:rsidRPr="00EB58B1">
              <w:rPr>
                <w:rFonts w:ascii="Arial" w:eastAsia="Times New Roman" w:hAnsi="Arial" w:cs="Arial"/>
                <w:color w:val="000000"/>
                <w:sz w:val="20"/>
                <w:szCs w:val="20"/>
              </w:rPr>
              <w:t>12</w:t>
            </w:r>
          </w:p>
        </w:tc>
      </w:tr>
    </w:tbl>
    <w:p w14:paraId="41DDE552" w14:textId="78B3633C" w:rsidR="00562271" w:rsidRPr="007706F5" w:rsidRDefault="00562271" w:rsidP="009F1132">
      <w:pPr>
        <w:rPr>
          <w:rFonts w:ascii="Arial" w:hAnsi="Arial" w:cs="Arial"/>
        </w:rPr>
      </w:pPr>
    </w:p>
    <w:p w14:paraId="71E9389E" w14:textId="444403A7" w:rsidR="008D49A8" w:rsidRPr="007706F5" w:rsidRDefault="008D49A8" w:rsidP="007F0FAA">
      <w:pPr>
        <w:pStyle w:val="Subtitle"/>
        <w:keepNext/>
        <w:keepLines/>
        <w:spacing w:after="160" w:line="259" w:lineRule="auto"/>
        <w:rPr>
          <w:rFonts w:ascii="Arial" w:hAnsi="Arial" w:cs="Arial"/>
          <w:sz w:val="22"/>
          <w:szCs w:val="22"/>
        </w:rPr>
      </w:pPr>
      <w:r w:rsidRPr="007706F5">
        <w:rPr>
          <w:rFonts w:ascii="Arial" w:hAnsi="Arial" w:cs="Arial"/>
          <w:sz w:val="22"/>
          <w:szCs w:val="22"/>
        </w:rPr>
        <w:lastRenderedPageBreak/>
        <w:t>ECA Quantum</w:t>
      </w:r>
    </w:p>
    <w:p w14:paraId="08293FCD" w14:textId="2C97E063" w:rsidR="003F41F6" w:rsidRPr="007706F5" w:rsidRDefault="003F41F6" w:rsidP="003F41F6">
      <w:pPr>
        <w:spacing w:after="200" w:line="276" w:lineRule="auto"/>
        <w:rPr>
          <w:rFonts w:ascii="Arial" w:eastAsia="Calibri" w:hAnsi="Arial" w:cs="Arial"/>
        </w:rPr>
      </w:pPr>
      <w:r w:rsidRPr="007706F5">
        <w:rPr>
          <w:rFonts w:ascii="Arial" w:hAnsi="Arial" w:cs="Arial"/>
        </w:rPr>
        <w:t xml:space="preserve">Calendar year data for 2019 shows that the </w:t>
      </w:r>
      <w:r w:rsidRPr="007706F5">
        <w:rPr>
          <w:rFonts w:ascii="Arial" w:eastAsia="Calibri" w:hAnsi="Arial" w:cs="Arial"/>
        </w:rPr>
        <w:t xml:space="preserve">most significant proportion of expenditure in the ECA is on the category of ‘Production, Publication and Distribution Services’ followed by ‘Support for Constituents and Organisations’. </w:t>
      </w:r>
    </w:p>
    <w:p w14:paraId="1CA6C1E0" w14:textId="68242386" w:rsidR="003F41F6" w:rsidRPr="007706F5" w:rsidRDefault="003F41F6" w:rsidP="003F41F6">
      <w:pPr>
        <w:spacing w:after="200" w:line="276" w:lineRule="auto"/>
        <w:rPr>
          <w:rFonts w:ascii="Arial" w:eastAsia="Calibri" w:hAnsi="Arial" w:cs="Arial"/>
        </w:rPr>
      </w:pPr>
      <w:r w:rsidRPr="007706F5">
        <w:rPr>
          <w:rFonts w:ascii="Arial" w:eastAsia="Calibri" w:hAnsi="Arial" w:cs="Arial"/>
        </w:rPr>
        <w:t xml:space="preserve">Advice from the Committee of the Legislative Assembly (CLA) and the Clerk is that members are seeking an increase in the quantum of the ECA to facilitate greater communication with </w:t>
      </w:r>
      <w:r w:rsidR="00B75E67" w:rsidRPr="007706F5">
        <w:rPr>
          <w:rFonts w:ascii="Arial" w:eastAsia="Calibri" w:hAnsi="Arial" w:cs="Arial"/>
        </w:rPr>
        <w:t>constituents in their electorates</w:t>
      </w:r>
      <w:r w:rsidRPr="007706F5">
        <w:rPr>
          <w:rFonts w:ascii="Arial" w:eastAsia="Calibri" w:hAnsi="Arial" w:cs="Arial"/>
        </w:rPr>
        <w:t xml:space="preserve">. The CLA has provided advice that the ‘desirable’ amount of postage is greater than the ‘actual’ expenditure on postage. The Tribunal notes advice that </w:t>
      </w:r>
      <w:proofErr w:type="gramStart"/>
      <w:r w:rsidRPr="007706F5">
        <w:rPr>
          <w:rFonts w:ascii="Arial" w:eastAsia="Calibri" w:hAnsi="Arial" w:cs="Arial"/>
        </w:rPr>
        <w:t>stamp</w:t>
      </w:r>
      <w:proofErr w:type="gramEnd"/>
      <w:r w:rsidRPr="007706F5">
        <w:rPr>
          <w:rFonts w:ascii="Arial" w:eastAsia="Calibri" w:hAnsi="Arial" w:cs="Arial"/>
        </w:rPr>
        <w:t xml:space="preserve"> prices have increased from 70c in 2014 to $1.10 in 2020 and that the Commonwealth provides a postage allocation equivalent to the cost of one stamp per constituent per year. </w:t>
      </w:r>
    </w:p>
    <w:p w14:paraId="624D270F" w14:textId="14BD79F5" w:rsidR="00851471" w:rsidRPr="007706F5" w:rsidRDefault="00851471" w:rsidP="00851471">
      <w:pPr>
        <w:spacing w:after="200" w:line="276" w:lineRule="auto"/>
        <w:rPr>
          <w:rFonts w:ascii="Arial" w:eastAsia="Calibri" w:hAnsi="Arial" w:cs="Arial"/>
        </w:rPr>
      </w:pPr>
      <w:r w:rsidRPr="007706F5">
        <w:rPr>
          <w:rFonts w:ascii="Arial" w:eastAsia="Calibri" w:hAnsi="Arial" w:cs="Arial"/>
        </w:rPr>
        <w:t>In Determination 1/2013</w:t>
      </w:r>
      <w:r w:rsidR="009936E7" w:rsidRPr="007706F5">
        <w:rPr>
          <w:rFonts w:ascii="Arial" w:eastAsia="Calibri" w:hAnsi="Arial" w:cs="Arial"/>
        </w:rPr>
        <w:t>,</w:t>
      </w:r>
      <w:r w:rsidRPr="007706F5">
        <w:rPr>
          <w:rFonts w:ascii="Arial" w:eastAsia="Calibri" w:hAnsi="Arial" w:cs="Arial"/>
        </w:rPr>
        <w:t xml:space="preserve"> the rate of the former Information and Communication Allowance was determined by reference to a direct mail out via Australia Post to all electorate household’s costing approximately $11,000 in postage and $3000 in design and printing (total $14,000). An amount of $34,000 was provided for information and communication providing for approximately: </w:t>
      </w:r>
    </w:p>
    <w:p w14:paraId="44E05A51" w14:textId="77777777" w:rsidR="00851471" w:rsidRPr="007706F5" w:rsidRDefault="00851471" w:rsidP="00AC7BED">
      <w:pPr>
        <w:pStyle w:val="ListParagraph"/>
        <w:numPr>
          <w:ilvl w:val="0"/>
          <w:numId w:val="6"/>
        </w:numPr>
        <w:spacing w:after="200" w:line="276" w:lineRule="auto"/>
        <w:rPr>
          <w:rFonts w:ascii="Arial" w:eastAsia="Calibri" w:hAnsi="Arial" w:cs="Arial"/>
        </w:rPr>
      </w:pPr>
      <w:r w:rsidRPr="007706F5">
        <w:rPr>
          <w:rFonts w:ascii="Arial" w:eastAsia="Calibri" w:hAnsi="Arial" w:cs="Arial"/>
        </w:rPr>
        <w:t xml:space="preserve">two direct mail outs to all households per annum, and </w:t>
      </w:r>
    </w:p>
    <w:p w14:paraId="6DF5B688" w14:textId="3D1CA7E2" w:rsidR="00851471" w:rsidRPr="007706F5" w:rsidRDefault="00851471" w:rsidP="00AC7BED">
      <w:pPr>
        <w:pStyle w:val="ListParagraph"/>
        <w:numPr>
          <w:ilvl w:val="0"/>
          <w:numId w:val="6"/>
        </w:numPr>
        <w:spacing w:after="200" w:line="276" w:lineRule="auto"/>
        <w:rPr>
          <w:rFonts w:ascii="Arial" w:eastAsia="Calibri" w:hAnsi="Arial" w:cs="Arial"/>
        </w:rPr>
      </w:pPr>
      <w:r w:rsidRPr="007706F5">
        <w:rPr>
          <w:rFonts w:ascii="Arial" w:eastAsia="Calibri" w:hAnsi="Arial" w:cs="Arial"/>
        </w:rPr>
        <w:t>an additional $6000 for other communication costs.</w:t>
      </w:r>
    </w:p>
    <w:p w14:paraId="0F615036" w14:textId="43FC591C" w:rsidR="00B7723F" w:rsidRPr="007706F5" w:rsidRDefault="00B7723F" w:rsidP="00B7723F">
      <w:pPr>
        <w:spacing w:after="200" w:line="276" w:lineRule="auto"/>
        <w:rPr>
          <w:rFonts w:ascii="Arial" w:eastAsia="Calibri" w:hAnsi="Arial" w:cs="Arial"/>
        </w:rPr>
      </w:pPr>
      <w:r w:rsidRPr="007706F5">
        <w:rPr>
          <w:rFonts w:ascii="Arial" w:eastAsia="Calibri" w:hAnsi="Arial" w:cs="Arial"/>
        </w:rPr>
        <w:t>In Determination 9/2015</w:t>
      </w:r>
      <w:r w:rsidR="009936E7" w:rsidRPr="007706F5">
        <w:rPr>
          <w:rFonts w:ascii="Arial" w:eastAsia="Calibri" w:hAnsi="Arial" w:cs="Arial"/>
        </w:rPr>
        <w:t>,</w:t>
      </w:r>
      <w:r w:rsidRPr="007706F5">
        <w:rPr>
          <w:rFonts w:ascii="Arial" w:eastAsia="Calibri" w:hAnsi="Arial" w:cs="Arial"/>
        </w:rPr>
        <w:t xml:space="preserve"> the former Information and Communication Allowance was combined with the former Electorate Allowance and renamed the ‘Electorate and Communication Allowance’. </w:t>
      </w:r>
    </w:p>
    <w:p w14:paraId="2DA8764A" w14:textId="432DF644" w:rsidR="003F41F6" w:rsidRPr="007706F5" w:rsidRDefault="00851471" w:rsidP="00851471">
      <w:pPr>
        <w:spacing w:after="200" w:line="276" w:lineRule="auto"/>
        <w:rPr>
          <w:rFonts w:ascii="Arial" w:eastAsia="Calibri" w:hAnsi="Arial" w:cs="Arial"/>
        </w:rPr>
      </w:pPr>
      <w:r w:rsidRPr="007706F5">
        <w:rPr>
          <w:rFonts w:ascii="Arial" w:eastAsia="Calibri" w:hAnsi="Arial" w:cs="Arial"/>
        </w:rPr>
        <w:t xml:space="preserve">Consideration of household data from the 2016 </w:t>
      </w:r>
      <w:r w:rsidR="009936E7" w:rsidRPr="007706F5">
        <w:rPr>
          <w:rFonts w:ascii="Arial" w:eastAsia="Calibri" w:hAnsi="Arial" w:cs="Arial"/>
        </w:rPr>
        <w:t xml:space="preserve">Census </w:t>
      </w:r>
      <w:r w:rsidRPr="007706F5">
        <w:rPr>
          <w:rFonts w:ascii="Arial" w:eastAsia="Calibri" w:hAnsi="Arial" w:cs="Arial"/>
        </w:rPr>
        <w:t xml:space="preserve">shows that on average there are 17,815 households in each electorate. Using a rate of $1.10 (cost of a postage stamp) and the average number of households, it would cost approximately $19,500 to post a letter to each household in </w:t>
      </w:r>
      <w:r w:rsidR="009936E7" w:rsidRPr="007706F5">
        <w:rPr>
          <w:rFonts w:ascii="Arial" w:eastAsia="Calibri" w:hAnsi="Arial" w:cs="Arial"/>
        </w:rPr>
        <w:t xml:space="preserve">an </w:t>
      </w:r>
      <w:r w:rsidRPr="007706F5">
        <w:rPr>
          <w:rFonts w:ascii="Arial" w:eastAsia="Calibri" w:hAnsi="Arial" w:cs="Arial"/>
        </w:rPr>
        <w:t xml:space="preserve">electorate. </w:t>
      </w:r>
      <w:r w:rsidR="00671E73" w:rsidRPr="007706F5">
        <w:rPr>
          <w:rFonts w:ascii="Arial" w:eastAsia="Calibri" w:hAnsi="Arial" w:cs="Arial"/>
        </w:rPr>
        <w:t xml:space="preserve">As such, </w:t>
      </w:r>
      <w:r w:rsidRPr="007706F5">
        <w:rPr>
          <w:rFonts w:ascii="Arial" w:eastAsia="Calibri" w:hAnsi="Arial" w:cs="Arial"/>
        </w:rPr>
        <w:t>it would cost approximately $39,000 per annum in postage for two direct mail outs to each household within an electorate (an increase of $17,000 since the figure provided in 2013).</w:t>
      </w:r>
    </w:p>
    <w:p w14:paraId="299C4929" w14:textId="6013FC59" w:rsidR="00851471" w:rsidRPr="007706F5" w:rsidRDefault="00851471" w:rsidP="00851471">
      <w:pPr>
        <w:spacing w:after="200" w:line="276" w:lineRule="auto"/>
        <w:rPr>
          <w:rFonts w:ascii="Arial" w:eastAsia="Calibri" w:hAnsi="Arial" w:cs="Arial"/>
        </w:rPr>
      </w:pPr>
      <w:r w:rsidRPr="007706F5">
        <w:rPr>
          <w:rFonts w:ascii="Arial" w:eastAsia="Calibri" w:hAnsi="Arial" w:cs="Arial"/>
        </w:rPr>
        <w:t>The following table compares the direct mail out costs per annum as a proportion of the total ECA:</w:t>
      </w:r>
    </w:p>
    <w:tbl>
      <w:tblPr>
        <w:tblStyle w:val="TableGrid"/>
        <w:tblW w:w="0" w:type="auto"/>
        <w:tblLook w:val="04A0" w:firstRow="1" w:lastRow="0" w:firstColumn="1" w:lastColumn="0" w:noHBand="0" w:noVBand="1"/>
      </w:tblPr>
      <w:tblGrid>
        <w:gridCol w:w="2254"/>
        <w:gridCol w:w="2254"/>
        <w:gridCol w:w="2254"/>
        <w:gridCol w:w="2254"/>
      </w:tblGrid>
      <w:tr w:rsidR="00851471" w:rsidRPr="007706F5" w14:paraId="016828B4" w14:textId="77777777" w:rsidTr="001A48CE">
        <w:tc>
          <w:tcPr>
            <w:tcW w:w="2254" w:type="dxa"/>
            <w:shd w:val="clear" w:color="auto" w:fill="8EAADB" w:themeFill="accent1" w:themeFillTint="99"/>
          </w:tcPr>
          <w:p w14:paraId="6BAF6DB4" w14:textId="77777777" w:rsidR="00851471" w:rsidRPr="007706F5" w:rsidRDefault="00851471" w:rsidP="001A48CE">
            <w:pPr>
              <w:rPr>
                <w:rFonts w:ascii="Arial" w:eastAsia="Calibri" w:hAnsi="Arial" w:cs="Arial"/>
              </w:rPr>
            </w:pPr>
          </w:p>
        </w:tc>
        <w:tc>
          <w:tcPr>
            <w:tcW w:w="2254" w:type="dxa"/>
            <w:shd w:val="clear" w:color="auto" w:fill="8EAADB" w:themeFill="accent1" w:themeFillTint="99"/>
          </w:tcPr>
          <w:p w14:paraId="44107AFE" w14:textId="77777777" w:rsidR="00851471" w:rsidRPr="007706F5" w:rsidRDefault="00851471" w:rsidP="001A48CE">
            <w:pPr>
              <w:rPr>
                <w:rFonts w:ascii="Arial" w:eastAsia="Calibri" w:hAnsi="Arial" w:cs="Arial"/>
                <w:b/>
              </w:rPr>
            </w:pPr>
            <w:r w:rsidRPr="007706F5">
              <w:rPr>
                <w:rFonts w:ascii="Arial" w:eastAsia="Calibri" w:hAnsi="Arial" w:cs="Arial"/>
                <w:b/>
              </w:rPr>
              <w:t>2013</w:t>
            </w:r>
          </w:p>
        </w:tc>
        <w:tc>
          <w:tcPr>
            <w:tcW w:w="2254" w:type="dxa"/>
            <w:shd w:val="clear" w:color="auto" w:fill="8EAADB" w:themeFill="accent1" w:themeFillTint="99"/>
          </w:tcPr>
          <w:p w14:paraId="474B2BA1" w14:textId="77777777" w:rsidR="00851471" w:rsidRPr="007706F5" w:rsidRDefault="00851471" w:rsidP="001A48CE">
            <w:pPr>
              <w:rPr>
                <w:rFonts w:ascii="Arial" w:eastAsia="Calibri" w:hAnsi="Arial" w:cs="Arial"/>
                <w:b/>
              </w:rPr>
            </w:pPr>
            <w:r w:rsidRPr="007706F5">
              <w:rPr>
                <w:rFonts w:ascii="Arial" w:eastAsia="Calibri" w:hAnsi="Arial" w:cs="Arial"/>
                <w:b/>
              </w:rPr>
              <w:t>2020</w:t>
            </w:r>
          </w:p>
        </w:tc>
        <w:tc>
          <w:tcPr>
            <w:tcW w:w="2254" w:type="dxa"/>
            <w:shd w:val="clear" w:color="auto" w:fill="8EAADB" w:themeFill="accent1" w:themeFillTint="99"/>
          </w:tcPr>
          <w:p w14:paraId="29D592A9" w14:textId="77777777" w:rsidR="00851471" w:rsidRPr="007706F5" w:rsidRDefault="00851471" w:rsidP="001A48CE">
            <w:pPr>
              <w:rPr>
                <w:rFonts w:ascii="Arial" w:eastAsia="Calibri" w:hAnsi="Arial" w:cs="Arial"/>
                <w:b/>
              </w:rPr>
            </w:pPr>
            <w:r w:rsidRPr="007706F5">
              <w:rPr>
                <w:rFonts w:ascii="Arial" w:eastAsia="Calibri" w:hAnsi="Arial" w:cs="Arial"/>
                <w:b/>
              </w:rPr>
              <w:t>Total increase</w:t>
            </w:r>
          </w:p>
        </w:tc>
      </w:tr>
      <w:tr w:rsidR="00851471" w:rsidRPr="007706F5" w14:paraId="3BE8F1EB" w14:textId="77777777" w:rsidTr="001A48CE">
        <w:tc>
          <w:tcPr>
            <w:tcW w:w="2254" w:type="dxa"/>
            <w:shd w:val="clear" w:color="auto" w:fill="8EAADB" w:themeFill="accent1" w:themeFillTint="99"/>
          </w:tcPr>
          <w:p w14:paraId="13EE2390" w14:textId="77777777" w:rsidR="00851471" w:rsidRPr="007706F5" w:rsidRDefault="00851471" w:rsidP="001A48CE">
            <w:pPr>
              <w:rPr>
                <w:rFonts w:ascii="Arial" w:eastAsia="Calibri" w:hAnsi="Arial" w:cs="Arial"/>
                <w:b/>
                <w:sz w:val="20"/>
                <w:szCs w:val="20"/>
              </w:rPr>
            </w:pPr>
            <w:r w:rsidRPr="007706F5">
              <w:rPr>
                <w:rFonts w:ascii="Arial" w:eastAsia="Calibri" w:hAnsi="Arial" w:cs="Arial"/>
                <w:b/>
                <w:sz w:val="20"/>
                <w:szCs w:val="20"/>
              </w:rPr>
              <w:t>Cost of two direct mail outs</w:t>
            </w:r>
          </w:p>
        </w:tc>
        <w:tc>
          <w:tcPr>
            <w:tcW w:w="2254" w:type="dxa"/>
          </w:tcPr>
          <w:p w14:paraId="31D6F832"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$22,000 per annum</w:t>
            </w:r>
          </w:p>
        </w:tc>
        <w:tc>
          <w:tcPr>
            <w:tcW w:w="2254" w:type="dxa"/>
          </w:tcPr>
          <w:p w14:paraId="1EFC73F0"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$39,000 per annum</w:t>
            </w:r>
          </w:p>
        </w:tc>
        <w:tc>
          <w:tcPr>
            <w:tcW w:w="2254" w:type="dxa"/>
          </w:tcPr>
          <w:p w14:paraId="55F8913F"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$17,000</w:t>
            </w:r>
          </w:p>
        </w:tc>
      </w:tr>
      <w:tr w:rsidR="00851471" w:rsidRPr="007706F5" w14:paraId="10E93D83" w14:textId="77777777" w:rsidTr="001A48CE">
        <w:tc>
          <w:tcPr>
            <w:tcW w:w="2254" w:type="dxa"/>
            <w:shd w:val="clear" w:color="auto" w:fill="8EAADB" w:themeFill="accent1" w:themeFillTint="99"/>
          </w:tcPr>
          <w:p w14:paraId="7295A63A" w14:textId="79C4DD0B" w:rsidR="00851471" w:rsidRPr="007706F5" w:rsidRDefault="00851471" w:rsidP="001A48CE">
            <w:pPr>
              <w:rPr>
                <w:rFonts w:ascii="Arial" w:eastAsia="Calibri" w:hAnsi="Arial" w:cs="Arial"/>
                <w:b/>
                <w:sz w:val="20"/>
                <w:szCs w:val="20"/>
              </w:rPr>
            </w:pPr>
            <w:r w:rsidRPr="007706F5">
              <w:rPr>
                <w:rFonts w:ascii="Arial" w:eastAsia="Calibri" w:hAnsi="Arial" w:cs="Arial"/>
                <w:b/>
                <w:sz w:val="20"/>
                <w:szCs w:val="20"/>
              </w:rPr>
              <w:t>Proportion of ECA</w:t>
            </w:r>
            <w:r w:rsidR="0043297B" w:rsidRPr="007706F5">
              <w:rPr>
                <w:rStyle w:val="FootnoteReference"/>
                <w:rFonts w:ascii="Arial" w:eastAsia="Calibri" w:hAnsi="Arial" w:cs="Arial"/>
                <w:b/>
                <w:sz w:val="20"/>
                <w:szCs w:val="20"/>
              </w:rPr>
              <w:footnoteReference w:id="8"/>
            </w:r>
            <w:r w:rsidRPr="007706F5">
              <w:rPr>
                <w:rFonts w:ascii="Arial" w:eastAsia="Calibri" w:hAnsi="Arial" w:cs="Arial"/>
                <w:b/>
                <w:sz w:val="20"/>
                <w:szCs w:val="20"/>
              </w:rPr>
              <w:t xml:space="preserve"> on two direct mail outs </w:t>
            </w:r>
          </w:p>
        </w:tc>
        <w:tc>
          <w:tcPr>
            <w:tcW w:w="2254" w:type="dxa"/>
          </w:tcPr>
          <w:p w14:paraId="7216E173"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32% – 36%</w:t>
            </w:r>
          </w:p>
          <w:p w14:paraId="72D3E5A5" w14:textId="77777777" w:rsidR="00851471" w:rsidRPr="007706F5" w:rsidRDefault="00851471" w:rsidP="001A48CE">
            <w:pPr>
              <w:rPr>
                <w:rFonts w:ascii="Arial" w:eastAsia="Calibri" w:hAnsi="Arial" w:cs="Arial"/>
                <w:sz w:val="20"/>
                <w:szCs w:val="20"/>
              </w:rPr>
            </w:pPr>
          </w:p>
        </w:tc>
        <w:tc>
          <w:tcPr>
            <w:tcW w:w="2254" w:type="dxa"/>
          </w:tcPr>
          <w:p w14:paraId="461DE84C"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51% - 56%</w:t>
            </w:r>
          </w:p>
        </w:tc>
        <w:tc>
          <w:tcPr>
            <w:tcW w:w="2254" w:type="dxa"/>
          </w:tcPr>
          <w:p w14:paraId="0465811B"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20% per band</w:t>
            </w:r>
          </w:p>
          <w:p w14:paraId="4516A5F3" w14:textId="77777777" w:rsidR="00851471" w:rsidRPr="007706F5" w:rsidRDefault="00851471" w:rsidP="001A48CE">
            <w:pPr>
              <w:rPr>
                <w:rFonts w:ascii="Arial" w:eastAsia="Calibri" w:hAnsi="Arial" w:cs="Arial"/>
                <w:sz w:val="20"/>
                <w:szCs w:val="20"/>
              </w:rPr>
            </w:pPr>
            <w:r w:rsidRPr="007706F5">
              <w:rPr>
                <w:rFonts w:ascii="Arial" w:eastAsia="Calibri" w:hAnsi="Arial" w:cs="Arial"/>
                <w:sz w:val="20"/>
                <w:szCs w:val="20"/>
              </w:rPr>
              <w:t>($13,920 to $15,280)</w:t>
            </w:r>
          </w:p>
        </w:tc>
      </w:tr>
    </w:tbl>
    <w:p w14:paraId="643AD1BA" w14:textId="77777777" w:rsidR="007F3DF1" w:rsidRPr="007706F5" w:rsidRDefault="00851471" w:rsidP="0043297B">
      <w:pPr>
        <w:spacing w:before="240" w:after="200" w:line="276" w:lineRule="auto"/>
        <w:rPr>
          <w:rFonts w:ascii="Arial" w:eastAsia="Calibri" w:hAnsi="Arial" w:cs="Arial"/>
        </w:rPr>
      </w:pPr>
      <w:r w:rsidRPr="007706F5">
        <w:rPr>
          <w:rFonts w:ascii="Arial" w:eastAsia="Calibri" w:hAnsi="Arial" w:cs="Arial"/>
        </w:rPr>
        <w:t>The Tribunal notes that postage costs to facilitate communication with the electorate have increased significantly since 2013 with only minor adjustments to the quantum of the ECA</w:t>
      </w:r>
      <w:r w:rsidR="0097592B" w:rsidRPr="007706F5">
        <w:rPr>
          <w:rFonts w:ascii="Arial" w:eastAsia="Calibri" w:hAnsi="Arial" w:cs="Arial"/>
        </w:rPr>
        <w:t>.</w:t>
      </w:r>
      <w:r w:rsidR="007F3DF1" w:rsidRPr="007706F5">
        <w:rPr>
          <w:rFonts w:ascii="Arial" w:eastAsia="Calibri" w:hAnsi="Arial" w:cs="Arial"/>
        </w:rPr>
        <w:t xml:space="preserve"> </w:t>
      </w:r>
      <w:r w:rsidR="0097592B" w:rsidRPr="007706F5">
        <w:rPr>
          <w:rFonts w:ascii="Arial" w:eastAsia="Calibri" w:hAnsi="Arial" w:cs="Arial"/>
        </w:rPr>
        <w:t xml:space="preserve">The </w:t>
      </w:r>
      <w:r w:rsidRPr="007706F5">
        <w:rPr>
          <w:rFonts w:ascii="Arial" w:eastAsia="Calibri" w:hAnsi="Arial" w:cs="Arial"/>
        </w:rPr>
        <w:t xml:space="preserve">Tribunal is of the view that </w:t>
      </w:r>
      <w:r w:rsidR="005C168E" w:rsidRPr="007706F5">
        <w:rPr>
          <w:rFonts w:ascii="Arial" w:eastAsia="Calibri" w:hAnsi="Arial" w:cs="Arial"/>
        </w:rPr>
        <w:t xml:space="preserve">the current quantum of the ECA does not reflect the amount of reasonable expenses incurred by a member in servicing their electorate. </w:t>
      </w:r>
      <w:r w:rsidR="0097592B" w:rsidRPr="007706F5">
        <w:rPr>
          <w:rFonts w:ascii="Arial" w:eastAsia="Calibri" w:hAnsi="Arial" w:cs="Arial"/>
        </w:rPr>
        <w:t xml:space="preserve"> </w:t>
      </w:r>
    </w:p>
    <w:p w14:paraId="0ADBEFDD" w14:textId="32AC7C87" w:rsidR="005C168E" w:rsidRPr="00EB58B1" w:rsidRDefault="005C168E" w:rsidP="007F3DF1">
      <w:pPr>
        <w:keepNext/>
        <w:keepLines/>
        <w:spacing w:before="240" w:after="200" w:line="276" w:lineRule="auto"/>
        <w:rPr>
          <w:rFonts w:ascii="Arial" w:eastAsia="Calibri" w:hAnsi="Arial" w:cs="Arial"/>
        </w:rPr>
      </w:pPr>
      <w:r w:rsidRPr="00EB58B1">
        <w:rPr>
          <w:rFonts w:ascii="Arial" w:eastAsia="Calibri" w:hAnsi="Arial" w:cs="Arial"/>
        </w:rPr>
        <w:lastRenderedPageBreak/>
        <w:t>Accordingly, with effect from 1 November 2020 (following the State Election and the provision for up to 40% carry over of the ECA)</w:t>
      </w:r>
      <w:r w:rsidR="009936E7" w:rsidRPr="00EB58B1">
        <w:rPr>
          <w:rStyle w:val="FootnoteReference"/>
          <w:rFonts w:ascii="Arial" w:eastAsia="Calibri" w:hAnsi="Arial" w:cs="Arial"/>
        </w:rPr>
        <w:footnoteReference w:id="9"/>
      </w:r>
      <w:r w:rsidRPr="00EB58B1">
        <w:rPr>
          <w:rFonts w:ascii="Arial" w:eastAsia="Calibri" w:hAnsi="Arial" w:cs="Arial"/>
        </w:rPr>
        <w:t xml:space="preserve"> the ECA bands will be set as follows: </w:t>
      </w:r>
    </w:p>
    <w:tbl>
      <w:tblPr>
        <w:tblStyle w:val="TableGrid"/>
        <w:tblW w:w="8965" w:type="dxa"/>
        <w:tblInd w:w="-5" w:type="dxa"/>
        <w:tblLook w:val="04A0" w:firstRow="1" w:lastRow="0" w:firstColumn="1" w:lastColumn="0" w:noHBand="0" w:noVBand="1"/>
      </w:tblPr>
      <w:tblGrid>
        <w:gridCol w:w="993"/>
        <w:gridCol w:w="1094"/>
        <w:gridCol w:w="6878"/>
      </w:tblGrid>
      <w:tr w:rsidR="000C705F" w:rsidRPr="007706F5" w14:paraId="59912568" w14:textId="77777777" w:rsidTr="000C705F">
        <w:trPr>
          <w:cantSplit/>
          <w:trHeight w:val="255"/>
        </w:trPr>
        <w:tc>
          <w:tcPr>
            <w:tcW w:w="993" w:type="dxa"/>
            <w:shd w:val="clear" w:color="auto" w:fill="8EAADB" w:themeFill="accent1" w:themeFillTint="99"/>
            <w:noWrap/>
            <w:vAlign w:val="center"/>
            <w:hideMark/>
          </w:tcPr>
          <w:p w14:paraId="03FEF175" w14:textId="77777777" w:rsidR="000C705F" w:rsidRPr="00EB58B1" w:rsidRDefault="000C705F" w:rsidP="004F75EF">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Band </w:t>
            </w:r>
          </w:p>
        </w:tc>
        <w:tc>
          <w:tcPr>
            <w:tcW w:w="1094" w:type="dxa"/>
            <w:shd w:val="clear" w:color="auto" w:fill="8EAADB" w:themeFill="accent1" w:themeFillTint="99"/>
            <w:vAlign w:val="center"/>
          </w:tcPr>
          <w:p w14:paraId="6681D7BD" w14:textId="77777777" w:rsidR="000C705F" w:rsidRPr="00EB58B1" w:rsidRDefault="000C705F" w:rsidP="004F75EF">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Amount</w:t>
            </w:r>
          </w:p>
        </w:tc>
        <w:tc>
          <w:tcPr>
            <w:tcW w:w="6878" w:type="dxa"/>
            <w:shd w:val="clear" w:color="auto" w:fill="8EAADB" w:themeFill="accent1" w:themeFillTint="99"/>
            <w:vAlign w:val="center"/>
          </w:tcPr>
          <w:p w14:paraId="1E3E5D61" w14:textId="77777777" w:rsidR="000C705F" w:rsidRPr="00EB58B1" w:rsidRDefault="000C705F" w:rsidP="004F75EF">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Electorates in each band </w:t>
            </w:r>
          </w:p>
        </w:tc>
      </w:tr>
      <w:tr w:rsidR="000C705F" w:rsidRPr="007706F5" w14:paraId="472A772F" w14:textId="77777777" w:rsidTr="000C705F">
        <w:trPr>
          <w:cantSplit/>
          <w:trHeight w:val="376"/>
        </w:trPr>
        <w:tc>
          <w:tcPr>
            <w:tcW w:w="993" w:type="dxa"/>
            <w:shd w:val="clear" w:color="auto" w:fill="8EAADB" w:themeFill="accent1" w:themeFillTint="99"/>
            <w:noWrap/>
            <w:vAlign w:val="center"/>
            <w:hideMark/>
          </w:tcPr>
          <w:p w14:paraId="3054F873"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1</w:t>
            </w:r>
          </w:p>
        </w:tc>
        <w:tc>
          <w:tcPr>
            <w:tcW w:w="1094" w:type="dxa"/>
            <w:vAlign w:val="center"/>
          </w:tcPr>
          <w:p w14:paraId="46CC1C4F"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$89,200</w:t>
            </w:r>
          </w:p>
        </w:tc>
        <w:tc>
          <w:tcPr>
            <w:tcW w:w="6878" w:type="dxa"/>
            <w:vAlign w:val="center"/>
          </w:tcPr>
          <w:p w14:paraId="1F66D5F2" w14:textId="77777777" w:rsidR="000C705F" w:rsidRPr="00EB58B1" w:rsidRDefault="000C705F" w:rsidP="004F75E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Algester, Bonney, Broadwater, Gaven, Gladstone, Glass House, Hinchinbrook, Ipswich, Lockyer, Mansfield, Mirani, Moggill, Mundingburra, Nicklin, Oodgeroo, Southport, Stretton, Surfers Paradise, Toohey, Townsville, Waterford, Whitsunday</w:t>
            </w:r>
          </w:p>
        </w:tc>
      </w:tr>
      <w:tr w:rsidR="000C705F" w:rsidRPr="007706F5" w14:paraId="06307913" w14:textId="77777777" w:rsidTr="000C705F">
        <w:trPr>
          <w:cantSplit/>
          <w:trHeight w:val="165"/>
        </w:trPr>
        <w:tc>
          <w:tcPr>
            <w:tcW w:w="993" w:type="dxa"/>
            <w:shd w:val="clear" w:color="auto" w:fill="8EAADB" w:themeFill="accent1" w:themeFillTint="99"/>
            <w:noWrap/>
            <w:vAlign w:val="center"/>
            <w:hideMark/>
          </w:tcPr>
          <w:p w14:paraId="432B30D9"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w:t>
            </w:r>
          </w:p>
        </w:tc>
        <w:tc>
          <w:tcPr>
            <w:tcW w:w="1094" w:type="dxa"/>
            <w:vAlign w:val="center"/>
          </w:tcPr>
          <w:p w14:paraId="6AFDC873"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$90,900</w:t>
            </w:r>
          </w:p>
        </w:tc>
        <w:tc>
          <w:tcPr>
            <w:tcW w:w="6878" w:type="dxa"/>
          </w:tcPr>
          <w:p w14:paraId="24FFD8E4" w14:textId="77777777" w:rsidR="000C705F" w:rsidRPr="00EB58B1" w:rsidRDefault="000C705F" w:rsidP="004F75E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 xml:space="preserve">Bancroft, Buderim, Bundaberg, Burleigh, Burnett, Cairns, Capalaba, Chatsworth, Currumbin, Ferny Grove, Inala, Ipswich West, </w:t>
            </w:r>
            <w:proofErr w:type="spellStart"/>
            <w:r w:rsidRPr="00EB58B1">
              <w:rPr>
                <w:rFonts w:ascii="Arial" w:eastAsia="Times New Roman" w:hAnsi="Arial" w:cs="Arial"/>
                <w:color w:val="000000"/>
                <w:sz w:val="20"/>
                <w:szCs w:val="20"/>
              </w:rPr>
              <w:t>Kawana</w:t>
            </w:r>
            <w:proofErr w:type="spellEnd"/>
            <w:r w:rsidRPr="00EB58B1">
              <w:rPr>
                <w:rFonts w:ascii="Arial" w:eastAsia="Times New Roman" w:hAnsi="Arial" w:cs="Arial"/>
                <w:color w:val="000000"/>
                <w:sz w:val="20"/>
                <w:szCs w:val="20"/>
              </w:rPr>
              <w:t>, Keppel, Kurwongbah, Macalister, Maroochydore, Mermaid Beach, Miller, Morayfield, Mount Ommaney, Mulgrave, Noosa, Rockhampton, Springwood, Theodore, Thuringowa, Woodridge</w:t>
            </w:r>
          </w:p>
        </w:tc>
      </w:tr>
      <w:tr w:rsidR="000C705F" w:rsidRPr="007706F5" w14:paraId="64CA8197" w14:textId="77777777" w:rsidTr="000C705F">
        <w:trPr>
          <w:cantSplit/>
          <w:trHeight w:val="165"/>
        </w:trPr>
        <w:tc>
          <w:tcPr>
            <w:tcW w:w="993" w:type="dxa"/>
            <w:shd w:val="clear" w:color="auto" w:fill="8EAADB" w:themeFill="accent1" w:themeFillTint="99"/>
            <w:noWrap/>
            <w:vAlign w:val="center"/>
            <w:hideMark/>
          </w:tcPr>
          <w:p w14:paraId="0CA18401"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3</w:t>
            </w:r>
          </w:p>
        </w:tc>
        <w:tc>
          <w:tcPr>
            <w:tcW w:w="1094" w:type="dxa"/>
            <w:vAlign w:val="center"/>
          </w:tcPr>
          <w:p w14:paraId="2B51D363"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$93,400</w:t>
            </w:r>
          </w:p>
        </w:tc>
        <w:tc>
          <w:tcPr>
            <w:tcW w:w="6878" w:type="dxa"/>
          </w:tcPr>
          <w:p w14:paraId="7D273934" w14:textId="77777777" w:rsidR="000C705F" w:rsidRPr="00EB58B1" w:rsidRDefault="000C705F" w:rsidP="004F75E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 xml:space="preserve">Aspley, Barron River, Bundamba, Burdekin, Callide, Caloundra, Condamine, Cooper, Everton, Greenslopes, Hill, Jordan, Logan, Lytton, Mackay, </w:t>
            </w:r>
            <w:proofErr w:type="spellStart"/>
            <w:r w:rsidRPr="00EB58B1">
              <w:rPr>
                <w:rFonts w:ascii="Arial" w:eastAsia="Times New Roman" w:hAnsi="Arial" w:cs="Arial"/>
                <w:color w:val="000000"/>
                <w:sz w:val="20"/>
                <w:szCs w:val="20"/>
              </w:rPr>
              <w:t>Maiwar</w:t>
            </w:r>
            <w:proofErr w:type="spellEnd"/>
            <w:r w:rsidRPr="00EB58B1">
              <w:rPr>
                <w:rFonts w:ascii="Arial" w:eastAsia="Times New Roman" w:hAnsi="Arial" w:cs="Arial"/>
                <w:color w:val="000000"/>
                <w:sz w:val="20"/>
                <w:szCs w:val="20"/>
              </w:rPr>
              <w:t xml:space="preserve">, Maryborough, Mudgeeraba, Nanango, </w:t>
            </w:r>
            <w:proofErr w:type="spellStart"/>
            <w:r w:rsidRPr="00EB58B1">
              <w:rPr>
                <w:rFonts w:ascii="Arial" w:eastAsia="Times New Roman" w:hAnsi="Arial" w:cs="Arial"/>
                <w:color w:val="000000"/>
                <w:sz w:val="20"/>
                <w:szCs w:val="20"/>
              </w:rPr>
              <w:t>Ninderry</w:t>
            </w:r>
            <w:proofErr w:type="spellEnd"/>
            <w:r w:rsidRPr="00EB58B1">
              <w:rPr>
                <w:rFonts w:ascii="Arial" w:eastAsia="Times New Roman" w:hAnsi="Arial" w:cs="Arial"/>
                <w:color w:val="000000"/>
                <w:sz w:val="20"/>
                <w:szCs w:val="20"/>
              </w:rPr>
              <w:t xml:space="preserve">, Nudgee, Pine Rivers, </w:t>
            </w:r>
            <w:proofErr w:type="spellStart"/>
            <w:r w:rsidRPr="00EB58B1">
              <w:rPr>
                <w:rFonts w:ascii="Arial" w:eastAsia="Times New Roman" w:hAnsi="Arial" w:cs="Arial"/>
                <w:color w:val="000000"/>
                <w:sz w:val="20"/>
                <w:szCs w:val="20"/>
              </w:rPr>
              <w:t>Pumicestone</w:t>
            </w:r>
            <w:proofErr w:type="spellEnd"/>
            <w:r w:rsidRPr="00EB58B1">
              <w:rPr>
                <w:rFonts w:ascii="Arial" w:eastAsia="Times New Roman" w:hAnsi="Arial" w:cs="Arial"/>
                <w:color w:val="000000"/>
                <w:sz w:val="20"/>
                <w:szCs w:val="20"/>
              </w:rPr>
              <w:t>, Redcliffe, Redlands, Sandgate, Scenic Rim, South Brisbane, Southern Downs, Toowoomba North, Toowoomba South</w:t>
            </w:r>
          </w:p>
        </w:tc>
      </w:tr>
      <w:tr w:rsidR="000C705F" w:rsidRPr="007706F5" w14:paraId="3A0DADE0" w14:textId="77777777" w:rsidTr="000C705F">
        <w:trPr>
          <w:cantSplit/>
          <w:trHeight w:val="165"/>
        </w:trPr>
        <w:tc>
          <w:tcPr>
            <w:tcW w:w="993" w:type="dxa"/>
            <w:shd w:val="clear" w:color="auto" w:fill="8EAADB" w:themeFill="accent1" w:themeFillTint="99"/>
            <w:noWrap/>
            <w:vAlign w:val="center"/>
            <w:hideMark/>
          </w:tcPr>
          <w:p w14:paraId="47DA67E1"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4</w:t>
            </w:r>
          </w:p>
        </w:tc>
        <w:tc>
          <w:tcPr>
            <w:tcW w:w="1094" w:type="dxa"/>
            <w:vAlign w:val="center"/>
          </w:tcPr>
          <w:p w14:paraId="20CFFD67" w14:textId="77777777" w:rsidR="000C705F" w:rsidRPr="00EB58B1" w:rsidRDefault="000C705F" w:rsidP="004F75E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$95,200</w:t>
            </w:r>
          </w:p>
        </w:tc>
        <w:tc>
          <w:tcPr>
            <w:tcW w:w="6878" w:type="dxa"/>
          </w:tcPr>
          <w:p w14:paraId="66392A03" w14:textId="77777777" w:rsidR="000C705F" w:rsidRPr="00EB58B1" w:rsidRDefault="000C705F" w:rsidP="004F75E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Bulimba, Clayfield, Cook, Coomera, Gregory, Gympie, Hervey Bay, McConnel, Murrumba, Stafford, Traeger, Warrego</w:t>
            </w:r>
          </w:p>
        </w:tc>
      </w:tr>
    </w:tbl>
    <w:p w14:paraId="634ADEE3" w14:textId="38DA6396" w:rsidR="007A592F" w:rsidRPr="007706F5" w:rsidRDefault="007A592F" w:rsidP="00695E11">
      <w:pPr>
        <w:spacing w:before="240" w:after="200" w:line="276" w:lineRule="auto"/>
        <w:rPr>
          <w:rFonts w:ascii="Arial" w:eastAsia="Calibri" w:hAnsi="Arial" w:cs="Arial"/>
        </w:rPr>
      </w:pPr>
      <w:r w:rsidRPr="007706F5">
        <w:rPr>
          <w:rFonts w:ascii="Arial" w:eastAsia="Calibri" w:hAnsi="Arial" w:cs="Arial"/>
        </w:rPr>
        <w:t xml:space="preserve">The current acquittal and reporting requirements for the ECA are maintained. The Tribunal </w:t>
      </w:r>
      <w:r w:rsidR="00CF27C9" w:rsidRPr="007706F5">
        <w:rPr>
          <w:rFonts w:ascii="Arial" w:eastAsia="Calibri" w:hAnsi="Arial" w:cs="Arial"/>
        </w:rPr>
        <w:t xml:space="preserve">reiterates its view that a transparent and accountable allowances system is essential to ensure public confidence in members and to ensure that allowances are not a substitute for salary. </w:t>
      </w:r>
      <w:r w:rsidRPr="007706F5">
        <w:rPr>
          <w:rFonts w:ascii="Arial" w:eastAsia="Calibri" w:hAnsi="Arial" w:cs="Arial"/>
        </w:rPr>
        <w:t xml:space="preserve"> </w:t>
      </w:r>
    </w:p>
    <w:p w14:paraId="645DF6E5" w14:textId="355D4877" w:rsidR="00CF27C9" w:rsidRPr="007706F5" w:rsidRDefault="00CF27C9" w:rsidP="00CF27C9">
      <w:pPr>
        <w:pStyle w:val="Heading1"/>
        <w:spacing w:after="240"/>
        <w:rPr>
          <w:rFonts w:ascii="Arial" w:hAnsi="Arial" w:cs="Arial"/>
          <w:i/>
          <w:sz w:val="23"/>
          <w:szCs w:val="23"/>
        </w:rPr>
      </w:pPr>
      <w:r w:rsidRPr="007706F5">
        <w:rPr>
          <w:rFonts w:ascii="Arial" w:hAnsi="Arial" w:cs="Arial"/>
        </w:rPr>
        <w:t>2. Allowances – General Travel Entitlement</w:t>
      </w:r>
    </w:p>
    <w:p w14:paraId="7FB15DEA" w14:textId="6B610B00" w:rsidR="00CF27C9" w:rsidRPr="007706F5" w:rsidRDefault="00CF27C9" w:rsidP="00CF27C9">
      <w:pPr>
        <w:pStyle w:val="Subtitle"/>
        <w:spacing w:after="160" w:line="259" w:lineRule="auto"/>
        <w:rPr>
          <w:rFonts w:ascii="Arial" w:hAnsi="Arial" w:cs="Arial"/>
          <w:sz w:val="22"/>
          <w:szCs w:val="22"/>
        </w:rPr>
      </w:pPr>
      <w:r w:rsidRPr="007706F5">
        <w:rPr>
          <w:rFonts w:ascii="Arial" w:hAnsi="Arial" w:cs="Arial"/>
          <w:sz w:val="22"/>
          <w:szCs w:val="22"/>
        </w:rPr>
        <w:t>General Travel Entitlement</w:t>
      </w:r>
    </w:p>
    <w:p w14:paraId="455D8581" w14:textId="7953B725" w:rsidR="00CF27C9" w:rsidRPr="007706F5" w:rsidRDefault="00CF27C9" w:rsidP="002A056D">
      <w:pPr>
        <w:spacing w:after="200" w:line="276" w:lineRule="auto"/>
        <w:rPr>
          <w:rFonts w:ascii="Arial" w:hAnsi="Arial" w:cs="Arial"/>
        </w:rPr>
      </w:pPr>
      <w:r w:rsidRPr="007706F5">
        <w:rPr>
          <w:rFonts w:ascii="Arial" w:hAnsi="Arial" w:cs="Arial"/>
        </w:rPr>
        <w:t xml:space="preserve">The General Travel Entitlement consists of three components: </w:t>
      </w:r>
    </w:p>
    <w:p w14:paraId="2FD76D6C" w14:textId="5EF49183" w:rsidR="00CF27C9" w:rsidRPr="007706F5" w:rsidRDefault="00610CDC" w:rsidP="00AC7BED">
      <w:pPr>
        <w:pStyle w:val="ListParagraph"/>
        <w:numPr>
          <w:ilvl w:val="0"/>
          <w:numId w:val="8"/>
        </w:numPr>
        <w:spacing w:after="200" w:line="276" w:lineRule="auto"/>
        <w:rPr>
          <w:rFonts w:ascii="Arial" w:hAnsi="Arial" w:cs="Arial"/>
        </w:rPr>
      </w:pPr>
      <w:r w:rsidRPr="007706F5">
        <w:rPr>
          <w:rFonts w:ascii="Arial" w:hAnsi="Arial" w:cs="Arial"/>
        </w:rPr>
        <w:t xml:space="preserve">the </w:t>
      </w:r>
      <w:r w:rsidR="00CF27C9" w:rsidRPr="007706F5">
        <w:rPr>
          <w:rFonts w:ascii="Arial" w:hAnsi="Arial" w:cs="Arial"/>
        </w:rPr>
        <w:t xml:space="preserve">Motor Vehicle Allowance </w:t>
      </w:r>
      <w:r w:rsidR="000F6C35" w:rsidRPr="007706F5">
        <w:rPr>
          <w:rFonts w:ascii="Arial" w:hAnsi="Arial" w:cs="Arial"/>
        </w:rPr>
        <w:t xml:space="preserve">to cover expenditure incurred in acquiring and maintaining a member’s </w:t>
      </w:r>
      <w:proofErr w:type="gramStart"/>
      <w:r w:rsidR="000F6C35" w:rsidRPr="007706F5">
        <w:rPr>
          <w:rFonts w:ascii="Arial" w:hAnsi="Arial" w:cs="Arial"/>
        </w:rPr>
        <w:t>vehicle</w:t>
      </w:r>
      <w:proofErr w:type="gramEnd"/>
    </w:p>
    <w:p w14:paraId="768D8D9D" w14:textId="03C2D2F4" w:rsidR="00CF27C9" w:rsidRPr="007706F5" w:rsidRDefault="00610CDC" w:rsidP="00AC7BED">
      <w:pPr>
        <w:pStyle w:val="ListParagraph"/>
        <w:numPr>
          <w:ilvl w:val="0"/>
          <w:numId w:val="8"/>
        </w:numPr>
        <w:spacing w:after="200" w:line="276" w:lineRule="auto"/>
        <w:rPr>
          <w:rFonts w:ascii="Arial" w:hAnsi="Arial" w:cs="Arial"/>
        </w:rPr>
      </w:pPr>
      <w:r w:rsidRPr="007706F5">
        <w:rPr>
          <w:rFonts w:ascii="Arial" w:hAnsi="Arial" w:cs="Arial"/>
        </w:rPr>
        <w:t xml:space="preserve">the </w:t>
      </w:r>
      <w:r w:rsidR="00CF27C9" w:rsidRPr="007706F5">
        <w:rPr>
          <w:rFonts w:ascii="Arial" w:hAnsi="Arial" w:cs="Arial"/>
        </w:rPr>
        <w:t>General Travel Allocation (GTA)</w:t>
      </w:r>
      <w:r w:rsidR="000F6C35" w:rsidRPr="007706F5">
        <w:rPr>
          <w:rFonts w:ascii="Arial" w:hAnsi="Arial" w:cs="Arial"/>
        </w:rPr>
        <w:t xml:space="preserve"> to cover a range of travel expenses incurred by members when required to travel for the primary purpose of conducting parliamentary </w:t>
      </w:r>
      <w:proofErr w:type="gramStart"/>
      <w:r w:rsidR="000F6C35" w:rsidRPr="007706F5">
        <w:rPr>
          <w:rFonts w:ascii="Arial" w:hAnsi="Arial" w:cs="Arial"/>
        </w:rPr>
        <w:t>business</w:t>
      </w:r>
      <w:proofErr w:type="gramEnd"/>
      <w:r w:rsidR="000F6C35" w:rsidRPr="007706F5">
        <w:rPr>
          <w:rFonts w:ascii="Arial" w:hAnsi="Arial" w:cs="Arial"/>
        </w:rPr>
        <w:t xml:space="preserve"> </w:t>
      </w:r>
    </w:p>
    <w:p w14:paraId="2F7EC7E2" w14:textId="04EFF115" w:rsidR="00CF27C9" w:rsidRPr="007706F5" w:rsidRDefault="00CF27C9" w:rsidP="00AC7BED">
      <w:pPr>
        <w:pStyle w:val="ListParagraph"/>
        <w:numPr>
          <w:ilvl w:val="0"/>
          <w:numId w:val="8"/>
        </w:numPr>
        <w:spacing w:after="200" w:line="276" w:lineRule="auto"/>
        <w:rPr>
          <w:rFonts w:ascii="Arial" w:hAnsi="Arial" w:cs="Arial"/>
        </w:rPr>
      </w:pPr>
      <w:r w:rsidRPr="007706F5">
        <w:rPr>
          <w:rFonts w:ascii="Arial" w:hAnsi="Arial" w:cs="Arial"/>
        </w:rPr>
        <w:t>Air Warrant travel</w:t>
      </w:r>
      <w:r w:rsidR="000F6C35" w:rsidRPr="007706F5">
        <w:rPr>
          <w:rFonts w:ascii="Arial" w:hAnsi="Arial" w:cs="Arial"/>
        </w:rPr>
        <w:t xml:space="preserve"> to facilitate travel from certain regional electorates to/from Brisbane to conduct parliamentary business.  </w:t>
      </w:r>
    </w:p>
    <w:p w14:paraId="2DC6E8B8" w14:textId="6097911D" w:rsidR="00CF27C9" w:rsidRPr="007706F5" w:rsidRDefault="00CF27C9" w:rsidP="000F6C35">
      <w:pPr>
        <w:spacing w:after="200" w:line="276" w:lineRule="auto"/>
        <w:rPr>
          <w:rFonts w:ascii="Arial" w:eastAsia="Calibri" w:hAnsi="Arial" w:cs="Arial"/>
        </w:rPr>
      </w:pPr>
      <w:r w:rsidRPr="007706F5">
        <w:rPr>
          <w:rFonts w:ascii="Arial" w:eastAsia="Calibri" w:hAnsi="Arial" w:cs="Arial"/>
        </w:rPr>
        <w:t>The Parliamentary Business Overnight Rate (Brisbane) can also be claimed outside of</w:t>
      </w:r>
      <w:r w:rsidR="00D12B6A" w:rsidRPr="007706F5">
        <w:rPr>
          <w:rFonts w:ascii="Arial" w:eastAsia="Calibri" w:hAnsi="Arial" w:cs="Arial"/>
        </w:rPr>
        <w:t xml:space="preserve"> the</w:t>
      </w:r>
      <w:r w:rsidRPr="007706F5">
        <w:rPr>
          <w:rFonts w:ascii="Arial" w:eastAsia="Calibri" w:hAnsi="Arial" w:cs="Arial"/>
        </w:rPr>
        <w:t xml:space="preserve"> GTA for </w:t>
      </w:r>
      <w:r w:rsidR="00E84C64" w:rsidRPr="007706F5">
        <w:rPr>
          <w:rFonts w:ascii="Arial" w:eastAsia="Calibri" w:hAnsi="Arial" w:cs="Arial"/>
        </w:rPr>
        <w:t>m</w:t>
      </w:r>
      <w:r w:rsidRPr="007706F5">
        <w:rPr>
          <w:rFonts w:ascii="Arial" w:eastAsia="Calibri" w:hAnsi="Arial" w:cs="Arial"/>
        </w:rPr>
        <w:t xml:space="preserve">embers representing certain electorates for overnight stays in Brisbane. </w:t>
      </w:r>
    </w:p>
    <w:p w14:paraId="4087A2BA" w14:textId="2E4F94CC" w:rsidR="000F6C35" w:rsidRPr="007706F5" w:rsidRDefault="000F6C35" w:rsidP="000F6C35">
      <w:pPr>
        <w:pStyle w:val="Subtitle"/>
        <w:spacing w:after="160" w:line="259" w:lineRule="auto"/>
        <w:rPr>
          <w:rFonts w:ascii="Arial" w:hAnsi="Arial" w:cs="Arial"/>
          <w:sz w:val="22"/>
          <w:szCs w:val="22"/>
        </w:rPr>
      </w:pPr>
      <w:r w:rsidRPr="007706F5">
        <w:rPr>
          <w:rFonts w:ascii="Arial" w:hAnsi="Arial" w:cs="Arial"/>
          <w:sz w:val="22"/>
          <w:szCs w:val="22"/>
        </w:rPr>
        <w:t>Daily Travel Allowance within the GTA and the Parliamentary Business Overnight Rate (Brisbane)</w:t>
      </w:r>
    </w:p>
    <w:p w14:paraId="096695E2" w14:textId="013733CA" w:rsidR="000F6C35" w:rsidRPr="007706F5" w:rsidRDefault="000F6C35" w:rsidP="002A056D">
      <w:pPr>
        <w:spacing w:after="200" w:line="276" w:lineRule="auto"/>
        <w:rPr>
          <w:rFonts w:ascii="Arial" w:eastAsia="Calibri" w:hAnsi="Arial" w:cs="Arial"/>
        </w:rPr>
      </w:pPr>
      <w:r w:rsidRPr="007706F5">
        <w:rPr>
          <w:rFonts w:ascii="Arial" w:eastAsia="Calibri" w:hAnsi="Arial" w:cs="Arial"/>
        </w:rPr>
        <w:t>There are two forms of Daily Travel Allowance (DTA):</w:t>
      </w:r>
    </w:p>
    <w:p w14:paraId="3F90C1B7" w14:textId="02FA6C7D" w:rsidR="000F6C35" w:rsidRPr="007706F5" w:rsidRDefault="002A056D" w:rsidP="00AC7BED">
      <w:pPr>
        <w:pStyle w:val="ListParagraph"/>
        <w:numPr>
          <w:ilvl w:val="0"/>
          <w:numId w:val="9"/>
        </w:numPr>
        <w:spacing w:after="200" w:line="276" w:lineRule="auto"/>
        <w:rPr>
          <w:rFonts w:ascii="Arial" w:eastAsia="Calibri" w:hAnsi="Arial" w:cs="Arial"/>
        </w:rPr>
      </w:pPr>
      <w:r w:rsidRPr="007706F5">
        <w:rPr>
          <w:rFonts w:ascii="Arial" w:eastAsia="Calibri" w:hAnsi="Arial" w:cs="Arial"/>
        </w:rPr>
        <w:t>the DTA</w:t>
      </w:r>
      <w:r w:rsidR="000F6C35" w:rsidRPr="007706F5">
        <w:rPr>
          <w:rFonts w:ascii="Arial" w:eastAsia="Calibri" w:hAnsi="Arial" w:cs="Arial"/>
        </w:rPr>
        <w:t xml:space="preserve"> claimable under the GTA, and</w:t>
      </w:r>
    </w:p>
    <w:p w14:paraId="2F644F51" w14:textId="6FB14E90" w:rsidR="000F6C35" w:rsidRPr="007706F5" w:rsidRDefault="002A056D" w:rsidP="00AC7BED">
      <w:pPr>
        <w:pStyle w:val="ListParagraph"/>
        <w:numPr>
          <w:ilvl w:val="0"/>
          <w:numId w:val="9"/>
        </w:numPr>
        <w:spacing w:after="200" w:line="276" w:lineRule="auto"/>
        <w:rPr>
          <w:rFonts w:ascii="Arial" w:eastAsia="Calibri" w:hAnsi="Arial" w:cs="Arial"/>
        </w:rPr>
      </w:pPr>
      <w:r w:rsidRPr="007706F5">
        <w:rPr>
          <w:rFonts w:ascii="Arial" w:eastAsia="Calibri" w:hAnsi="Arial" w:cs="Arial"/>
        </w:rPr>
        <w:t>t</w:t>
      </w:r>
      <w:r w:rsidR="000F6C35" w:rsidRPr="007706F5">
        <w:rPr>
          <w:rFonts w:ascii="Arial" w:eastAsia="Calibri" w:hAnsi="Arial" w:cs="Arial"/>
        </w:rPr>
        <w:t xml:space="preserve">he Parliamentary Business Overnight Rate (PBOR). </w:t>
      </w:r>
    </w:p>
    <w:p w14:paraId="53C3A7D0" w14:textId="0CBBFBCA" w:rsidR="00BA45AC" w:rsidRPr="007706F5" w:rsidRDefault="00BA45AC" w:rsidP="000C705F">
      <w:pPr>
        <w:keepNext/>
        <w:spacing w:after="200" w:line="276" w:lineRule="auto"/>
        <w:rPr>
          <w:rFonts w:ascii="Arial" w:eastAsia="Calibri" w:hAnsi="Arial" w:cs="Arial"/>
          <w:u w:val="single"/>
        </w:rPr>
      </w:pPr>
      <w:r w:rsidRPr="007706F5">
        <w:rPr>
          <w:rFonts w:ascii="Arial" w:eastAsia="Calibri" w:hAnsi="Arial" w:cs="Arial"/>
          <w:u w:val="single"/>
        </w:rPr>
        <w:lastRenderedPageBreak/>
        <w:t xml:space="preserve">DTA </w:t>
      </w:r>
      <w:r w:rsidR="0081693E" w:rsidRPr="007706F5">
        <w:rPr>
          <w:rFonts w:ascii="Arial" w:eastAsia="Calibri" w:hAnsi="Arial" w:cs="Arial"/>
          <w:u w:val="single"/>
        </w:rPr>
        <w:t xml:space="preserve">claimable </w:t>
      </w:r>
      <w:r w:rsidRPr="007706F5">
        <w:rPr>
          <w:rFonts w:ascii="Arial" w:eastAsia="Calibri" w:hAnsi="Arial" w:cs="Arial"/>
          <w:u w:val="single"/>
        </w:rPr>
        <w:t>under the GTA</w:t>
      </w:r>
    </w:p>
    <w:p w14:paraId="1409AB76" w14:textId="722C3CB4" w:rsidR="00BA45AC" w:rsidRPr="007706F5" w:rsidRDefault="00BA45AC" w:rsidP="002A056D">
      <w:pPr>
        <w:spacing w:after="200" w:line="276" w:lineRule="auto"/>
        <w:rPr>
          <w:rFonts w:ascii="Arial" w:eastAsia="Calibri" w:hAnsi="Arial" w:cs="Arial"/>
        </w:rPr>
      </w:pPr>
      <w:r w:rsidRPr="007706F5">
        <w:rPr>
          <w:rFonts w:ascii="Arial" w:eastAsia="Calibri" w:hAnsi="Arial" w:cs="Arial"/>
        </w:rPr>
        <w:t>The GTA covers a range of travel expenses</w:t>
      </w:r>
      <w:r w:rsidR="00D12B6A" w:rsidRPr="007706F5">
        <w:rPr>
          <w:rFonts w:ascii="Arial" w:eastAsia="Calibri" w:hAnsi="Arial" w:cs="Arial"/>
        </w:rPr>
        <w:t xml:space="preserve">. </w:t>
      </w:r>
      <w:r w:rsidRPr="007706F5">
        <w:rPr>
          <w:rFonts w:ascii="Arial" w:eastAsia="Calibri" w:hAnsi="Arial" w:cs="Arial"/>
        </w:rPr>
        <w:t xml:space="preserve">For overnight expenses members </w:t>
      </w:r>
      <w:proofErr w:type="gramStart"/>
      <w:r w:rsidRPr="007706F5">
        <w:rPr>
          <w:rFonts w:ascii="Arial" w:eastAsia="Calibri" w:hAnsi="Arial" w:cs="Arial"/>
        </w:rPr>
        <w:t>are able to</w:t>
      </w:r>
      <w:proofErr w:type="gramEnd"/>
      <w:r w:rsidRPr="007706F5">
        <w:rPr>
          <w:rFonts w:ascii="Arial" w:eastAsia="Calibri" w:hAnsi="Arial" w:cs="Arial"/>
        </w:rPr>
        <w:t xml:space="preserve"> claim a DTA, rather than seek reimbursement for individual expenses. When travel necessitates an overnight absence from their normal place of residence and associated overnight expenses are incurred</w:t>
      </w:r>
      <w:r w:rsidR="00D12B6A" w:rsidRPr="007706F5">
        <w:rPr>
          <w:rFonts w:ascii="Arial" w:eastAsia="Calibri" w:hAnsi="Arial" w:cs="Arial"/>
        </w:rPr>
        <w:t>,</w:t>
      </w:r>
      <w:r w:rsidRPr="007706F5">
        <w:rPr>
          <w:rFonts w:ascii="Arial" w:eastAsia="Calibri" w:hAnsi="Arial" w:cs="Arial"/>
        </w:rPr>
        <w:t xml:space="preserve"> then </w:t>
      </w:r>
      <w:r w:rsidR="00D12B6A" w:rsidRPr="007706F5">
        <w:rPr>
          <w:rFonts w:ascii="Arial" w:eastAsia="Calibri" w:hAnsi="Arial" w:cs="Arial"/>
        </w:rPr>
        <w:t>the</w:t>
      </w:r>
      <w:r w:rsidRPr="007706F5">
        <w:rPr>
          <w:rFonts w:ascii="Arial" w:eastAsia="Calibri" w:hAnsi="Arial" w:cs="Arial"/>
        </w:rPr>
        <w:t xml:space="preserve"> DTA may be claimed. The DTA may be claimed for a variety of expenses including: </w:t>
      </w:r>
    </w:p>
    <w:p w14:paraId="520379A0"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Accommodation</w:t>
      </w:r>
    </w:p>
    <w:p w14:paraId="6A5DCBF5"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Meals/beverages</w:t>
      </w:r>
    </w:p>
    <w:p w14:paraId="2B66783B"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Hotel telephone/data costs</w:t>
      </w:r>
    </w:p>
    <w:p w14:paraId="151F3D70"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Dry cleaning</w:t>
      </w:r>
    </w:p>
    <w:p w14:paraId="6A84A888"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Incidentals</w:t>
      </w:r>
    </w:p>
    <w:p w14:paraId="7E42681B" w14:textId="77777777" w:rsidR="00BA45AC" w:rsidRPr="007706F5" w:rsidRDefault="00BA45AC" w:rsidP="00AC7BED">
      <w:pPr>
        <w:pStyle w:val="ListParagraph"/>
        <w:numPr>
          <w:ilvl w:val="0"/>
          <w:numId w:val="10"/>
        </w:numPr>
        <w:spacing w:after="200" w:line="276" w:lineRule="auto"/>
        <w:rPr>
          <w:rFonts w:ascii="Arial" w:eastAsia="Calibri" w:hAnsi="Arial" w:cs="Arial"/>
        </w:rPr>
      </w:pPr>
      <w:r w:rsidRPr="007706F5">
        <w:rPr>
          <w:rFonts w:ascii="Arial" w:eastAsia="Calibri" w:hAnsi="Arial" w:cs="Arial"/>
        </w:rPr>
        <w:t xml:space="preserve">Porterage. </w:t>
      </w:r>
    </w:p>
    <w:p w14:paraId="54A0D9EE" w14:textId="4C34E09F" w:rsidR="00BA45AC" w:rsidRPr="007706F5" w:rsidRDefault="00BA45AC" w:rsidP="002A056D">
      <w:pPr>
        <w:spacing w:after="200" w:line="276" w:lineRule="auto"/>
        <w:rPr>
          <w:rFonts w:ascii="Arial" w:eastAsia="Calibri" w:hAnsi="Arial" w:cs="Arial"/>
        </w:rPr>
      </w:pPr>
      <w:r w:rsidRPr="007706F5">
        <w:rPr>
          <w:rFonts w:ascii="Arial" w:eastAsia="Calibri" w:hAnsi="Arial" w:cs="Arial"/>
        </w:rPr>
        <w:t xml:space="preserve">Members may claim the DTA for each day of 24 hours or part of a day </w:t>
      </w:r>
      <w:proofErr w:type="gramStart"/>
      <w:r w:rsidRPr="007706F5">
        <w:rPr>
          <w:rFonts w:ascii="Arial" w:eastAsia="Calibri" w:hAnsi="Arial" w:cs="Arial"/>
        </w:rPr>
        <w:t>in excess of</w:t>
      </w:r>
      <w:proofErr w:type="gramEnd"/>
      <w:r w:rsidRPr="007706F5">
        <w:rPr>
          <w:rFonts w:ascii="Arial" w:eastAsia="Calibri" w:hAnsi="Arial" w:cs="Arial"/>
        </w:rPr>
        <w:t xml:space="preserve"> 12 hours which includes an overnight absence. The current rate of the DTA is provided below: </w:t>
      </w:r>
    </w:p>
    <w:tbl>
      <w:tblPr>
        <w:tblStyle w:val="TableGrid"/>
        <w:tblW w:w="0" w:type="auto"/>
        <w:tblLook w:val="04A0" w:firstRow="1" w:lastRow="0" w:firstColumn="1" w:lastColumn="0" w:noHBand="0" w:noVBand="1"/>
      </w:tblPr>
      <w:tblGrid>
        <w:gridCol w:w="4814"/>
        <w:gridCol w:w="4814"/>
      </w:tblGrid>
      <w:tr w:rsidR="00BA45AC" w:rsidRPr="007706F5" w14:paraId="01C6D943" w14:textId="77777777" w:rsidTr="00BA45AC">
        <w:tc>
          <w:tcPr>
            <w:tcW w:w="4814" w:type="dxa"/>
            <w:shd w:val="clear" w:color="auto" w:fill="8EAADB" w:themeFill="accent1" w:themeFillTint="99"/>
          </w:tcPr>
          <w:p w14:paraId="281A1601" w14:textId="6C825382" w:rsidR="00BA45AC" w:rsidRPr="007706F5" w:rsidRDefault="00BA45AC" w:rsidP="000F6C35">
            <w:pPr>
              <w:rPr>
                <w:rFonts w:ascii="Arial" w:hAnsi="Arial" w:cs="Arial"/>
                <w:b/>
                <w:sz w:val="20"/>
                <w:szCs w:val="20"/>
              </w:rPr>
            </w:pPr>
            <w:r w:rsidRPr="007706F5">
              <w:rPr>
                <w:rFonts w:ascii="Arial" w:hAnsi="Arial" w:cs="Arial"/>
                <w:b/>
                <w:sz w:val="20"/>
                <w:szCs w:val="20"/>
              </w:rPr>
              <w:t>Location of Overnight stay</w:t>
            </w:r>
          </w:p>
        </w:tc>
        <w:tc>
          <w:tcPr>
            <w:tcW w:w="4814" w:type="dxa"/>
            <w:shd w:val="clear" w:color="auto" w:fill="8EAADB" w:themeFill="accent1" w:themeFillTint="99"/>
          </w:tcPr>
          <w:p w14:paraId="0BCAE52E" w14:textId="34D14597" w:rsidR="00BA45AC" w:rsidRPr="007706F5" w:rsidRDefault="00BA45AC" w:rsidP="000F6C35">
            <w:pPr>
              <w:rPr>
                <w:rFonts w:ascii="Arial" w:hAnsi="Arial" w:cs="Arial"/>
                <w:b/>
                <w:sz w:val="20"/>
                <w:szCs w:val="20"/>
              </w:rPr>
            </w:pPr>
            <w:r w:rsidRPr="007706F5">
              <w:rPr>
                <w:rFonts w:ascii="Arial" w:hAnsi="Arial" w:cs="Arial"/>
                <w:b/>
                <w:sz w:val="20"/>
                <w:szCs w:val="20"/>
              </w:rPr>
              <w:t>Amount</w:t>
            </w:r>
          </w:p>
        </w:tc>
      </w:tr>
      <w:tr w:rsidR="00BA45AC" w:rsidRPr="007706F5" w14:paraId="423DF3FF" w14:textId="77777777" w:rsidTr="00BA45AC">
        <w:tc>
          <w:tcPr>
            <w:tcW w:w="4814" w:type="dxa"/>
          </w:tcPr>
          <w:p w14:paraId="44899C5E" w14:textId="59641245" w:rsidR="00BA45AC" w:rsidRPr="007706F5" w:rsidRDefault="00BA45AC" w:rsidP="000F6C35">
            <w:pPr>
              <w:rPr>
                <w:rFonts w:ascii="Arial" w:hAnsi="Arial" w:cs="Arial"/>
                <w:sz w:val="20"/>
                <w:szCs w:val="20"/>
              </w:rPr>
            </w:pPr>
            <w:r w:rsidRPr="007706F5">
              <w:rPr>
                <w:rFonts w:ascii="Arial" w:hAnsi="Arial" w:cs="Arial"/>
                <w:sz w:val="20"/>
                <w:szCs w:val="20"/>
              </w:rPr>
              <w:t>State and Territory capital cities within Australia as well as Wellington (New Zealand) and Port Moresby (Papua New Guinea)</w:t>
            </w:r>
          </w:p>
        </w:tc>
        <w:tc>
          <w:tcPr>
            <w:tcW w:w="4814" w:type="dxa"/>
          </w:tcPr>
          <w:p w14:paraId="6E40AD1C" w14:textId="44A34702" w:rsidR="00BA45AC" w:rsidRPr="007706F5" w:rsidRDefault="00BA45AC" w:rsidP="000F6C35">
            <w:pPr>
              <w:rPr>
                <w:rFonts w:ascii="Arial" w:hAnsi="Arial" w:cs="Arial"/>
                <w:sz w:val="20"/>
                <w:szCs w:val="20"/>
              </w:rPr>
            </w:pPr>
            <w:r w:rsidRPr="007706F5">
              <w:rPr>
                <w:rFonts w:ascii="Arial" w:hAnsi="Arial" w:cs="Arial"/>
                <w:sz w:val="20"/>
                <w:szCs w:val="20"/>
              </w:rPr>
              <w:t>$315.00 per day</w:t>
            </w:r>
          </w:p>
        </w:tc>
      </w:tr>
      <w:tr w:rsidR="00BA45AC" w:rsidRPr="007706F5" w14:paraId="63AB1F1A" w14:textId="77777777" w:rsidTr="00BA45AC">
        <w:tc>
          <w:tcPr>
            <w:tcW w:w="4814" w:type="dxa"/>
          </w:tcPr>
          <w:p w14:paraId="5DC65BF8" w14:textId="76B546B3" w:rsidR="00BA45AC" w:rsidRPr="007706F5" w:rsidRDefault="00BA45AC" w:rsidP="000F6C35">
            <w:pPr>
              <w:rPr>
                <w:rFonts w:ascii="Arial" w:hAnsi="Arial" w:cs="Arial"/>
                <w:sz w:val="20"/>
                <w:szCs w:val="20"/>
              </w:rPr>
            </w:pPr>
            <w:r w:rsidRPr="007706F5">
              <w:rPr>
                <w:rFonts w:ascii="Arial" w:hAnsi="Arial" w:cs="Arial"/>
                <w:sz w:val="20"/>
                <w:szCs w:val="20"/>
              </w:rPr>
              <w:t>All other destinations</w:t>
            </w:r>
          </w:p>
        </w:tc>
        <w:tc>
          <w:tcPr>
            <w:tcW w:w="4814" w:type="dxa"/>
          </w:tcPr>
          <w:p w14:paraId="1DC32D3C" w14:textId="1332BAE2" w:rsidR="00BA45AC" w:rsidRPr="007706F5" w:rsidRDefault="00BA45AC" w:rsidP="000F6C35">
            <w:pPr>
              <w:rPr>
                <w:rFonts w:ascii="Arial" w:hAnsi="Arial" w:cs="Arial"/>
                <w:sz w:val="20"/>
                <w:szCs w:val="20"/>
              </w:rPr>
            </w:pPr>
            <w:r w:rsidRPr="007706F5">
              <w:rPr>
                <w:rFonts w:ascii="Arial" w:hAnsi="Arial" w:cs="Arial"/>
                <w:sz w:val="20"/>
                <w:szCs w:val="20"/>
              </w:rPr>
              <w:t>$270.00 per day</w:t>
            </w:r>
          </w:p>
        </w:tc>
      </w:tr>
      <w:tr w:rsidR="00BA45AC" w:rsidRPr="007706F5" w14:paraId="21CCF844" w14:textId="77777777" w:rsidTr="00BA45AC">
        <w:tc>
          <w:tcPr>
            <w:tcW w:w="4814" w:type="dxa"/>
          </w:tcPr>
          <w:p w14:paraId="62859E3E" w14:textId="6ED0E2DF" w:rsidR="00BA45AC" w:rsidRPr="007706F5" w:rsidRDefault="00BA45AC" w:rsidP="000F6C35">
            <w:pPr>
              <w:rPr>
                <w:rFonts w:ascii="Arial" w:hAnsi="Arial" w:cs="Arial"/>
                <w:sz w:val="20"/>
                <w:szCs w:val="20"/>
              </w:rPr>
            </w:pPr>
            <w:r w:rsidRPr="007706F5">
              <w:rPr>
                <w:rFonts w:ascii="Arial" w:hAnsi="Arial" w:cs="Arial"/>
                <w:sz w:val="20"/>
                <w:szCs w:val="20"/>
              </w:rPr>
              <w:t>Overseas</w:t>
            </w:r>
          </w:p>
        </w:tc>
        <w:tc>
          <w:tcPr>
            <w:tcW w:w="4814" w:type="dxa"/>
          </w:tcPr>
          <w:p w14:paraId="3B14A364" w14:textId="40B23A28" w:rsidR="00BA45AC" w:rsidRPr="007706F5" w:rsidRDefault="00BA45AC" w:rsidP="000F6C35">
            <w:pPr>
              <w:rPr>
                <w:rFonts w:ascii="Arial" w:hAnsi="Arial" w:cs="Arial"/>
                <w:sz w:val="20"/>
                <w:szCs w:val="20"/>
              </w:rPr>
            </w:pPr>
            <w:r w:rsidRPr="007706F5">
              <w:rPr>
                <w:rFonts w:ascii="Arial" w:hAnsi="Arial" w:cs="Arial"/>
                <w:sz w:val="20"/>
                <w:szCs w:val="20"/>
              </w:rPr>
              <w:t>$333.00 per day</w:t>
            </w:r>
          </w:p>
        </w:tc>
      </w:tr>
    </w:tbl>
    <w:p w14:paraId="3E0C14C0" w14:textId="42F7C885" w:rsidR="000F6C35" w:rsidRPr="007706F5" w:rsidRDefault="00BA45AC" w:rsidP="000F6C35">
      <w:pPr>
        <w:rPr>
          <w:rFonts w:ascii="Arial" w:hAnsi="Arial" w:cs="Arial"/>
          <w:sz w:val="16"/>
          <w:szCs w:val="16"/>
        </w:rPr>
      </w:pPr>
      <w:r w:rsidRPr="007706F5">
        <w:rPr>
          <w:rFonts w:ascii="Arial" w:hAnsi="Arial" w:cs="Arial"/>
          <w:sz w:val="16"/>
          <w:szCs w:val="16"/>
        </w:rPr>
        <w:t xml:space="preserve">Notes: </w:t>
      </w:r>
    </w:p>
    <w:p w14:paraId="36D4812A" w14:textId="4261E551" w:rsidR="00BA45AC" w:rsidRPr="007706F5" w:rsidRDefault="00BA45AC" w:rsidP="00AC7BED">
      <w:pPr>
        <w:pStyle w:val="ListParagraph"/>
        <w:numPr>
          <w:ilvl w:val="0"/>
          <w:numId w:val="7"/>
        </w:numPr>
        <w:rPr>
          <w:rFonts w:ascii="Arial" w:hAnsi="Arial" w:cs="Arial"/>
          <w:sz w:val="16"/>
          <w:szCs w:val="16"/>
        </w:rPr>
      </w:pPr>
      <w:r w:rsidRPr="007706F5">
        <w:rPr>
          <w:rFonts w:ascii="Arial" w:hAnsi="Arial" w:cs="Arial"/>
          <w:sz w:val="16"/>
          <w:szCs w:val="16"/>
        </w:rPr>
        <w:t>Where a Member is provided with complimentary accommodation (including overnight rail travel at Legislative Assembly expense), or stays with relatives or friends, a reduced rate of DTA applies (equivalent to 1/3</w:t>
      </w:r>
      <w:r w:rsidRPr="007706F5">
        <w:rPr>
          <w:rFonts w:ascii="Arial" w:hAnsi="Arial" w:cs="Arial"/>
          <w:sz w:val="16"/>
          <w:szCs w:val="16"/>
          <w:vertAlign w:val="superscript"/>
        </w:rPr>
        <w:t>rd</w:t>
      </w:r>
      <w:r w:rsidRPr="007706F5">
        <w:rPr>
          <w:rFonts w:ascii="Arial" w:hAnsi="Arial" w:cs="Arial"/>
          <w:sz w:val="16"/>
          <w:szCs w:val="16"/>
        </w:rPr>
        <w:t xml:space="preserve"> of the above-mentioned full rates). </w:t>
      </w:r>
    </w:p>
    <w:p w14:paraId="40A726B3" w14:textId="517F9AF9" w:rsidR="00BA45AC" w:rsidRPr="007706F5" w:rsidRDefault="00BA45AC" w:rsidP="00AC7BED">
      <w:pPr>
        <w:pStyle w:val="ListParagraph"/>
        <w:numPr>
          <w:ilvl w:val="0"/>
          <w:numId w:val="7"/>
        </w:numPr>
        <w:rPr>
          <w:rFonts w:ascii="Arial" w:hAnsi="Arial" w:cs="Arial"/>
          <w:sz w:val="16"/>
          <w:szCs w:val="16"/>
        </w:rPr>
      </w:pPr>
      <w:r w:rsidRPr="007706F5">
        <w:rPr>
          <w:rFonts w:ascii="Arial" w:hAnsi="Arial" w:cs="Arial"/>
          <w:sz w:val="16"/>
          <w:szCs w:val="16"/>
        </w:rPr>
        <w:t xml:space="preserve">Any associated travel expenses incurred including taxis, hire cars, etc. may be met from the Member’s GTA. </w:t>
      </w:r>
    </w:p>
    <w:p w14:paraId="2C4EA4DA" w14:textId="77777777" w:rsidR="00BA45AC" w:rsidRPr="007706F5" w:rsidRDefault="00BA45AC" w:rsidP="00BA45AC">
      <w:pPr>
        <w:rPr>
          <w:rFonts w:ascii="Arial" w:hAnsi="Arial" w:cs="Arial"/>
          <w:u w:val="single"/>
        </w:rPr>
      </w:pPr>
    </w:p>
    <w:p w14:paraId="3DBC1AE6" w14:textId="0F98AED6" w:rsidR="00BA45AC" w:rsidRPr="007706F5" w:rsidRDefault="00BA45AC" w:rsidP="009936E7">
      <w:pPr>
        <w:keepNext/>
        <w:keepLines/>
        <w:spacing w:after="200" w:line="276" w:lineRule="auto"/>
        <w:rPr>
          <w:rFonts w:ascii="Arial" w:eastAsia="Calibri" w:hAnsi="Arial" w:cs="Arial"/>
          <w:u w:val="single"/>
        </w:rPr>
      </w:pPr>
      <w:r w:rsidRPr="007706F5">
        <w:rPr>
          <w:rFonts w:ascii="Arial" w:eastAsia="Calibri" w:hAnsi="Arial" w:cs="Arial"/>
          <w:u w:val="single"/>
        </w:rPr>
        <w:t>P</w:t>
      </w:r>
      <w:r w:rsidR="00D12B6A" w:rsidRPr="007706F5">
        <w:rPr>
          <w:rFonts w:ascii="Arial" w:eastAsia="Calibri" w:hAnsi="Arial" w:cs="Arial"/>
          <w:u w:val="single"/>
        </w:rPr>
        <w:t>arliamentary Business Overnight Rate</w:t>
      </w:r>
      <w:r w:rsidR="007A0651" w:rsidRPr="007706F5">
        <w:rPr>
          <w:rFonts w:ascii="Arial" w:eastAsia="Calibri" w:hAnsi="Arial" w:cs="Arial"/>
          <w:u w:val="single"/>
        </w:rPr>
        <w:t xml:space="preserve"> (PBOR)</w:t>
      </w:r>
    </w:p>
    <w:p w14:paraId="7460ACB0" w14:textId="02213DD0" w:rsidR="00BA45AC" w:rsidRPr="007706F5" w:rsidRDefault="00BA45AC" w:rsidP="009936E7">
      <w:pPr>
        <w:keepNext/>
        <w:keepLines/>
        <w:spacing w:after="200" w:line="276" w:lineRule="auto"/>
        <w:rPr>
          <w:rFonts w:ascii="Arial" w:eastAsia="Calibri" w:hAnsi="Arial" w:cs="Arial"/>
        </w:rPr>
      </w:pPr>
      <w:r w:rsidRPr="007706F5">
        <w:rPr>
          <w:rFonts w:ascii="Arial" w:eastAsia="Calibri" w:hAnsi="Arial" w:cs="Arial"/>
        </w:rPr>
        <w:t>When a member travels for the primary purpose of conducting Parliamentary Business in Brisbane city, the PBOR may be claimed</w:t>
      </w:r>
      <w:r w:rsidR="007A0651" w:rsidRPr="007706F5">
        <w:rPr>
          <w:rFonts w:ascii="Arial" w:eastAsia="Calibri" w:hAnsi="Arial" w:cs="Arial"/>
        </w:rPr>
        <w:t xml:space="preserve"> as follows: </w:t>
      </w:r>
      <w:r w:rsidRPr="007706F5">
        <w:rPr>
          <w:rFonts w:ascii="Arial" w:eastAsia="Calibri" w:hAnsi="Arial" w:cs="Arial"/>
        </w:rPr>
        <w:t xml:space="preserve"> </w:t>
      </w:r>
    </w:p>
    <w:tbl>
      <w:tblPr>
        <w:tblStyle w:val="TableGrid"/>
        <w:tblW w:w="0" w:type="auto"/>
        <w:tblLook w:val="04A0" w:firstRow="1" w:lastRow="0" w:firstColumn="1" w:lastColumn="0" w:noHBand="0" w:noVBand="1"/>
      </w:tblPr>
      <w:tblGrid>
        <w:gridCol w:w="6516"/>
        <w:gridCol w:w="3112"/>
      </w:tblGrid>
      <w:tr w:rsidR="00BA45AC" w:rsidRPr="007706F5" w14:paraId="6E7D37E4" w14:textId="77777777" w:rsidTr="0095144A">
        <w:tc>
          <w:tcPr>
            <w:tcW w:w="6516" w:type="dxa"/>
            <w:shd w:val="clear" w:color="auto" w:fill="8EAADB" w:themeFill="accent1" w:themeFillTint="99"/>
          </w:tcPr>
          <w:p w14:paraId="5C466845" w14:textId="499129CF" w:rsidR="00BA45AC" w:rsidRPr="00CB794E" w:rsidRDefault="00BA45AC" w:rsidP="009936E7">
            <w:pPr>
              <w:keepNext/>
              <w:keepLines/>
              <w:rPr>
                <w:rFonts w:ascii="Arial" w:hAnsi="Arial" w:cs="Arial"/>
                <w:b/>
                <w:sz w:val="20"/>
                <w:szCs w:val="20"/>
                <w:lang w:val="en-US"/>
              </w:rPr>
            </w:pPr>
            <w:r w:rsidRPr="00CB794E">
              <w:rPr>
                <w:rFonts w:ascii="Arial" w:hAnsi="Arial" w:cs="Arial"/>
                <w:b/>
                <w:sz w:val="20"/>
                <w:szCs w:val="20"/>
                <w:lang w:val="en-US"/>
              </w:rPr>
              <w:t>Circumstance</w:t>
            </w:r>
          </w:p>
        </w:tc>
        <w:tc>
          <w:tcPr>
            <w:tcW w:w="3112" w:type="dxa"/>
            <w:shd w:val="clear" w:color="auto" w:fill="8EAADB" w:themeFill="accent1" w:themeFillTint="99"/>
          </w:tcPr>
          <w:p w14:paraId="141B183A" w14:textId="73BC2C6C" w:rsidR="00BA45AC" w:rsidRPr="00CB794E" w:rsidRDefault="00BA45AC" w:rsidP="009936E7">
            <w:pPr>
              <w:keepNext/>
              <w:keepLines/>
              <w:rPr>
                <w:rFonts w:ascii="Arial" w:hAnsi="Arial" w:cs="Arial"/>
                <w:b/>
                <w:sz w:val="20"/>
                <w:szCs w:val="20"/>
                <w:lang w:val="en-US"/>
              </w:rPr>
            </w:pPr>
            <w:r w:rsidRPr="00CB794E">
              <w:rPr>
                <w:rFonts w:ascii="Arial" w:hAnsi="Arial" w:cs="Arial"/>
                <w:b/>
                <w:sz w:val="20"/>
                <w:szCs w:val="20"/>
                <w:lang w:val="en-US"/>
              </w:rPr>
              <w:t xml:space="preserve">Amount </w:t>
            </w:r>
          </w:p>
        </w:tc>
      </w:tr>
      <w:tr w:rsidR="00BA45AC" w:rsidRPr="007706F5" w14:paraId="08216438" w14:textId="77777777" w:rsidTr="0095144A">
        <w:tc>
          <w:tcPr>
            <w:tcW w:w="6516" w:type="dxa"/>
          </w:tcPr>
          <w:p w14:paraId="54D62954" w14:textId="10849D90" w:rsidR="00BA45AC" w:rsidRPr="00CB794E" w:rsidRDefault="00BA45AC" w:rsidP="009936E7">
            <w:pPr>
              <w:keepNext/>
              <w:keepLines/>
              <w:rPr>
                <w:rFonts w:ascii="Arial" w:hAnsi="Arial" w:cs="Arial"/>
                <w:sz w:val="20"/>
                <w:szCs w:val="20"/>
                <w:lang w:val="en-US"/>
              </w:rPr>
            </w:pPr>
            <w:r w:rsidRPr="00CB794E">
              <w:rPr>
                <w:rFonts w:ascii="Arial" w:hAnsi="Arial" w:cs="Arial"/>
                <w:sz w:val="20"/>
                <w:szCs w:val="20"/>
                <w:lang w:val="en-US"/>
              </w:rPr>
              <w:t xml:space="preserve">Members provided with overnight accommodation in the Parliamentary </w:t>
            </w:r>
            <w:proofErr w:type="spellStart"/>
            <w:r w:rsidRPr="00CB794E">
              <w:rPr>
                <w:rFonts w:ascii="Arial" w:hAnsi="Arial" w:cs="Arial"/>
                <w:sz w:val="20"/>
                <w:szCs w:val="20"/>
                <w:lang w:val="en-US"/>
              </w:rPr>
              <w:t>Annexe</w:t>
            </w:r>
            <w:proofErr w:type="spellEnd"/>
          </w:p>
        </w:tc>
        <w:tc>
          <w:tcPr>
            <w:tcW w:w="3112" w:type="dxa"/>
          </w:tcPr>
          <w:p w14:paraId="5D25D9BB" w14:textId="77777777" w:rsidR="0095144A" w:rsidRPr="00CB794E" w:rsidRDefault="00BA45AC" w:rsidP="009936E7">
            <w:pPr>
              <w:keepNext/>
              <w:keepLines/>
              <w:rPr>
                <w:rFonts w:ascii="Arial" w:hAnsi="Arial" w:cs="Arial"/>
                <w:sz w:val="20"/>
                <w:szCs w:val="20"/>
                <w:lang w:val="en-US"/>
              </w:rPr>
            </w:pPr>
            <w:r w:rsidRPr="00CB794E">
              <w:rPr>
                <w:rFonts w:ascii="Arial" w:hAnsi="Arial" w:cs="Arial"/>
                <w:sz w:val="20"/>
                <w:szCs w:val="20"/>
                <w:lang w:val="en-US"/>
              </w:rPr>
              <w:t>$10</w:t>
            </w:r>
            <w:r w:rsidR="0095144A" w:rsidRPr="00CB794E">
              <w:rPr>
                <w:rFonts w:ascii="Arial" w:hAnsi="Arial" w:cs="Arial"/>
                <w:sz w:val="20"/>
                <w:szCs w:val="20"/>
                <w:lang w:val="en-US"/>
              </w:rPr>
              <w:t>5.00 per day</w:t>
            </w:r>
          </w:p>
          <w:p w14:paraId="36FC4CF7" w14:textId="248A07E8" w:rsidR="00BA45AC" w:rsidRPr="00CB794E" w:rsidRDefault="00B37841" w:rsidP="009936E7">
            <w:pPr>
              <w:keepNext/>
              <w:keepLines/>
              <w:rPr>
                <w:rFonts w:ascii="Arial" w:hAnsi="Arial" w:cs="Arial"/>
                <w:sz w:val="20"/>
                <w:szCs w:val="20"/>
                <w:lang w:val="en-US"/>
              </w:rPr>
            </w:pPr>
            <w:r w:rsidRPr="00CB794E">
              <w:rPr>
                <w:rFonts w:ascii="Arial" w:hAnsi="Arial" w:cs="Arial"/>
                <w:sz w:val="20"/>
                <w:szCs w:val="20"/>
                <w:lang w:val="en-US"/>
              </w:rPr>
              <w:t>(1/3</w:t>
            </w:r>
            <w:r w:rsidRPr="00CB794E">
              <w:rPr>
                <w:rFonts w:ascii="Arial" w:hAnsi="Arial" w:cs="Arial"/>
                <w:sz w:val="20"/>
                <w:szCs w:val="20"/>
                <w:vertAlign w:val="superscript"/>
                <w:lang w:val="en-US"/>
              </w:rPr>
              <w:t>rd</w:t>
            </w:r>
            <w:r w:rsidRPr="00CB794E">
              <w:rPr>
                <w:rFonts w:ascii="Arial" w:hAnsi="Arial" w:cs="Arial"/>
                <w:sz w:val="20"/>
                <w:szCs w:val="20"/>
                <w:lang w:val="en-US"/>
              </w:rPr>
              <w:t xml:space="preserve"> of the current capital city rate)</w:t>
            </w:r>
          </w:p>
        </w:tc>
      </w:tr>
      <w:tr w:rsidR="00BA45AC" w:rsidRPr="007706F5" w14:paraId="052F61AB" w14:textId="77777777" w:rsidTr="0095144A">
        <w:tc>
          <w:tcPr>
            <w:tcW w:w="6516" w:type="dxa"/>
          </w:tcPr>
          <w:p w14:paraId="040E6C93" w14:textId="7457D293" w:rsidR="00BA45AC" w:rsidRPr="00CB794E" w:rsidRDefault="0095144A" w:rsidP="009936E7">
            <w:pPr>
              <w:keepNext/>
              <w:keepLines/>
              <w:rPr>
                <w:rFonts w:ascii="Arial" w:hAnsi="Arial" w:cs="Arial"/>
                <w:sz w:val="20"/>
                <w:szCs w:val="20"/>
                <w:lang w:val="en-US"/>
              </w:rPr>
            </w:pPr>
            <w:r w:rsidRPr="00CB794E">
              <w:rPr>
                <w:rFonts w:ascii="Arial" w:hAnsi="Arial" w:cs="Arial"/>
                <w:sz w:val="20"/>
                <w:szCs w:val="20"/>
                <w:lang w:val="en-US"/>
              </w:rPr>
              <w:t xml:space="preserve">Members representing Brisbane based electorates not provided with overnight accommodation in the Parliamentary </w:t>
            </w:r>
            <w:proofErr w:type="spellStart"/>
            <w:r w:rsidRPr="00CB794E">
              <w:rPr>
                <w:rFonts w:ascii="Arial" w:hAnsi="Arial" w:cs="Arial"/>
                <w:sz w:val="20"/>
                <w:szCs w:val="20"/>
                <w:lang w:val="en-US"/>
              </w:rPr>
              <w:t>Annexe</w:t>
            </w:r>
            <w:proofErr w:type="spellEnd"/>
            <w:r w:rsidRPr="00CB794E">
              <w:rPr>
                <w:rFonts w:ascii="Arial" w:hAnsi="Arial" w:cs="Arial"/>
                <w:sz w:val="20"/>
                <w:szCs w:val="20"/>
                <w:lang w:val="en-US"/>
              </w:rPr>
              <w:t xml:space="preserve"> who stay in commercial accommodation facilities for an overnight stay (</w:t>
            </w:r>
            <w:proofErr w:type="gramStart"/>
            <w:r w:rsidRPr="00CB794E">
              <w:rPr>
                <w:rFonts w:ascii="Arial" w:hAnsi="Arial" w:cs="Arial"/>
                <w:sz w:val="20"/>
                <w:szCs w:val="20"/>
                <w:lang w:val="en-US"/>
              </w:rPr>
              <w:t>e.g.</w:t>
            </w:r>
            <w:proofErr w:type="gramEnd"/>
            <w:r w:rsidRPr="00CB794E">
              <w:rPr>
                <w:rFonts w:ascii="Arial" w:hAnsi="Arial" w:cs="Arial"/>
                <w:sz w:val="20"/>
                <w:szCs w:val="20"/>
                <w:lang w:val="en-US"/>
              </w:rPr>
              <w:t xml:space="preserve"> hotel)</w:t>
            </w:r>
          </w:p>
        </w:tc>
        <w:tc>
          <w:tcPr>
            <w:tcW w:w="3112" w:type="dxa"/>
          </w:tcPr>
          <w:p w14:paraId="31686C03" w14:textId="77777777" w:rsidR="0095144A" w:rsidRPr="00CB794E" w:rsidRDefault="0095144A" w:rsidP="009936E7">
            <w:pPr>
              <w:keepNext/>
              <w:keepLines/>
              <w:rPr>
                <w:rFonts w:ascii="Arial" w:hAnsi="Arial" w:cs="Arial"/>
                <w:sz w:val="20"/>
                <w:szCs w:val="20"/>
                <w:lang w:val="en-US"/>
              </w:rPr>
            </w:pPr>
            <w:r w:rsidRPr="00CB794E">
              <w:rPr>
                <w:rFonts w:ascii="Arial" w:hAnsi="Arial" w:cs="Arial"/>
                <w:sz w:val="20"/>
                <w:szCs w:val="20"/>
                <w:lang w:val="en-US"/>
              </w:rPr>
              <w:t>$105.00 per day</w:t>
            </w:r>
          </w:p>
          <w:p w14:paraId="3867E7AB" w14:textId="5E5E072D" w:rsidR="00BA45AC" w:rsidRPr="00CB794E" w:rsidRDefault="00B37841" w:rsidP="009936E7">
            <w:pPr>
              <w:keepNext/>
              <w:keepLines/>
              <w:rPr>
                <w:rFonts w:ascii="Arial" w:hAnsi="Arial" w:cs="Arial"/>
                <w:sz w:val="20"/>
                <w:szCs w:val="20"/>
                <w:lang w:val="en-US"/>
              </w:rPr>
            </w:pPr>
            <w:r w:rsidRPr="00CB794E">
              <w:rPr>
                <w:rFonts w:ascii="Arial" w:hAnsi="Arial" w:cs="Arial"/>
                <w:sz w:val="20"/>
                <w:szCs w:val="20"/>
                <w:lang w:val="en-US"/>
              </w:rPr>
              <w:t>(1/3</w:t>
            </w:r>
            <w:r w:rsidRPr="00CB794E">
              <w:rPr>
                <w:rFonts w:ascii="Arial" w:hAnsi="Arial" w:cs="Arial"/>
                <w:sz w:val="20"/>
                <w:szCs w:val="20"/>
                <w:vertAlign w:val="superscript"/>
                <w:lang w:val="en-US"/>
              </w:rPr>
              <w:t>rd</w:t>
            </w:r>
            <w:r w:rsidRPr="00CB794E">
              <w:rPr>
                <w:rFonts w:ascii="Arial" w:hAnsi="Arial" w:cs="Arial"/>
                <w:sz w:val="20"/>
                <w:szCs w:val="20"/>
                <w:lang w:val="en-US"/>
              </w:rPr>
              <w:t xml:space="preserve"> of the current capital city rate)</w:t>
            </w:r>
          </w:p>
        </w:tc>
      </w:tr>
      <w:tr w:rsidR="00BA45AC" w:rsidRPr="007706F5" w14:paraId="249E9B7C" w14:textId="77777777" w:rsidTr="0095144A">
        <w:tc>
          <w:tcPr>
            <w:tcW w:w="6516" w:type="dxa"/>
          </w:tcPr>
          <w:p w14:paraId="05C288BC" w14:textId="1E5D73C8" w:rsidR="00BA45AC" w:rsidRPr="00CB794E" w:rsidRDefault="0095144A" w:rsidP="009936E7">
            <w:pPr>
              <w:keepNext/>
              <w:keepLines/>
              <w:rPr>
                <w:rFonts w:ascii="Arial" w:hAnsi="Arial" w:cs="Arial"/>
                <w:sz w:val="20"/>
                <w:szCs w:val="20"/>
                <w:lang w:val="en-US"/>
              </w:rPr>
            </w:pPr>
            <w:r w:rsidRPr="00CB794E">
              <w:rPr>
                <w:rFonts w:ascii="Arial" w:hAnsi="Arial" w:cs="Arial"/>
                <w:sz w:val="20"/>
                <w:szCs w:val="20"/>
                <w:lang w:val="en-US"/>
              </w:rPr>
              <w:t xml:space="preserve">Other members not provided with overnight accommodation in the Parliamentary </w:t>
            </w:r>
            <w:proofErr w:type="spellStart"/>
            <w:r w:rsidRPr="00CB794E">
              <w:rPr>
                <w:rFonts w:ascii="Arial" w:hAnsi="Arial" w:cs="Arial"/>
                <w:sz w:val="20"/>
                <w:szCs w:val="20"/>
                <w:lang w:val="en-US"/>
              </w:rPr>
              <w:t>Annexe</w:t>
            </w:r>
            <w:proofErr w:type="spellEnd"/>
            <w:r w:rsidRPr="00CB794E">
              <w:rPr>
                <w:rFonts w:ascii="Arial" w:hAnsi="Arial" w:cs="Arial"/>
                <w:sz w:val="20"/>
                <w:szCs w:val="20"/>
                <w:lang w:val="en-US"/>
              </w:rPr>
              <w:t xml:space="preserve"> who stay in commercial accommodation facilities for an overnight stay (</w:t>
            </w:r>
            <w:proofErr w:type="gramStart"/>
            <w:r w:rsidRPr="00CB794E">
              <w:rPr>
                <w:rFonts w:ascii="Arial" w:hAnsi="Arial" w:cs="Arial"/>
                <w:sz w:val="20"/>
                <w:szCs w:val="20"/>
                <w:lang w:val="en-US"/>
              </w:rPr>
              <w:t>e.g.</w:t>
            </w:r>
            <w:proofErr w:type="gramEnd"/>
            <w:r w:rsidRPr="00CB794E">
              <w:rPr>
                <w:rFonts w:ascii="Arial" w:hAnsi="Arial" w:cs="Arial"/>
                <w:sz w:val="20"/>
                <w:szCs w:val="20"/>
                <w:lang w:val="en-US"/>
              </w:rPr>
              <w:t xml:space="preserve"> hotel)</w:t>
            </w:r>
          </w:p>
        </w:tc>
        <w:tc>
          <w:tcPr>
            <w:tcW w:w="3112" w:type="dxa"/>
          </w:tcPr>
          <w:p w14:paraId="13043CD6" w14:textId="5D3B3EA6" w:rsidR="00BA45AC" w:rsidRPr="00CB794E" w:rsidRDefault="0095144A" w:rsidP="009936E7">
            <w:pPr>
              <w:keepNext/>
              <w:keepLines/>
              <w:rPr>
                <w:rFonts w:ascii="Arial" w:hAnsi="Arial" w:cs="Arial"/>
                <w:sz w:val="20"/>
                <w:szCs w:val="20"/>
                <w:lang w:val="en-US"/>
              </w:rPr>
            </w:pPr>
            <w:r w:rsidRPr="00CB794E">
              <w:rPr>
                <w:rFonts w:ascii="Arial" w:hAnsi="Arial" w:cs="Arial"/>
                <w:sz w:val="20"/>
                <w:szCs w:val="20"/>
                <w:lang w:val="en-US"/>
              </w:rPr>
              <w:t xml:space="preserve">$315.00 per day. </w:t>
            </w:r>
          </w:p>
        </w:tc>
      </w:tr>
    </w:tbl>
    <w:p w14:paraId="049F8664" w14:textId="77777777" w:rsidR="0095144A" w:rsidRPr="007706F5" w:rsidRDefault="0095144A">
      <w:pPr>
        <w:rPr>
          <w:rFonts w:ascii="Arial" w:hAnsi="Arial" w:cs="Arial"/>
          <w:lang w:val="en-US"/>
        </w:rPr>
      </w:pPr>
    </w:p>
    <w:p w14:paraId="6EACE2E9" w14:textId="5A2C7036" w:rsidR="0095144A" w:rsidRPr="007706F5" w:rsidRDefault="0095144A">
      <w:pPr>
        <w:rPr>
          <w:rFonts w:ascii="Arial" w:eastAsia="Calibri" w:hAnsi="Arial" w:cs="Arial"/>
        </w:rPr>
      </w:pPr>
      <w:r w:rsidRPr="007706F5">
        <w:rPr>
          <w:rFonts w:ascii="Arial" w:eastAsia="Calibri" w:hAnsi="Arial" w:cs="Arial"/>
        </w:rPr>
        <w:t>The DTA rates have not been amended since Determination 2/2013 and do not reflect the current Australian Taxation Office (ATO) allowances detailed in Taxation Determination 2019/11.</w:t>
      </w:r>
      <w:r w:rsidRPr="007706F5">
        <w:rPr>
          <w:rFonts w:ascii="Arial" w:eastAsia="Calibri" w:hAnsi="Arial" w:cs="Arial"/>
          <w:vertAlign w:val="superscript"/>
        </w:rPr>
        <w:footnoteReference w:id="10"/>
      </w:r>
      <w:r w:rsidRPr="007706F5">
        <w:rPr>
          <w:rFonts w:ascii="Arial" w:eastAsia="Calibri" w:hAnsi="Arial" w:cs="Arial"/>
          <w:vertAlign w:val="superscript"/>
        </w:rPr>
        <w:t xml:space="preserve"> </w:t>
      </w:r>
      <w:r w:rsidR="002A056D" w:rsidRPr="007706F5">
        <w:rPr>
          <w:rFonts w:ascii="Arial" w:eastAsia="Calibri" w:hAnsi="Arial" w:cs="Arial"/>
          <w:vertAlign w:val="superscript"/>
        </w:rPr>
        <w:t xml:space="preserve"> </w:t>
      </w:r>
      <w:r w:rsidRPr="007706F5">
        <w:rPr>
          <w:rFonts w:ascii="Arial" w:eastAsia="Calibri" w:hAnsi="Arial" w:cs="Arial"/>
        </w:rPr>
        <w:t>The Taxation Determination</w:t>
      </w:r>
      <w:r w:rsidR="007A0651" w:rsidRPr="007706F5">
        <w:rPr>
          <w:rFonts w:ascii="Arial" w:eastAsia="Calibri" w:hAnsi="Arial" w:cs="Arial"/>
        </w:rPr>
        <w:t xml:space="preserve"> provides for</w:t>
      </w:r>
      <w:r w:rsidRPr="007706F5">
        <w:rPr>
          <w:rFonts w:ascii="Arial" w:eastAsia="Calibri" w:hAnsi="Arial" w:cs="Arial"/>
        </w:rPr>
        <w:t xml:space="preserve"> capital city </w:t>
      </w:r>
      <w:r w:rsidR="007A0651" w:rsidRPr="007706F5">
        <w:rPr>
          <w:rFonts w:ascii="Arial" w:eastAsia="Calibri" w:hAnsi="Arial" w:cs="Arial"/>
        </w:rPr>
        <w:t>daily</w:t>
      </w:r>
      <w:r w:rsidRPr="007706F5">
        <w:rPr>
          <w:rFonts w:ascii="Arial" w:eastAsia="Calibri" w:hAnsi="Arial" w:cs="Arial"/>
        </w:rPr>
        <w:t xml:space="preserve"> rates rang</w:t>
      </w:r>
      <w:r w:rsidR="007A0651" w:rsidRPr="007706F5">
        <w:rPr>
          <w:rFonts w:ascii="Arial" w:eastAsia="Calibri" w:hAnsi="Arial" w:cs="Arial"/>
        </w:rPr>
        <w:t>ing</w:t>
      </w:r>
      <w:r w:rsidRPr="007706F5">
        <w:rPr>
          <w:rFonts w:ascii="Arial" w:eastAsia="Calibri" w:hAnsi="Arial" w:cs="Arial"/>
        </w:rPr>
        <w:t xml:space="preserve"> from $359.30 to $456.30 and </w:t>
      </w:r>
      <w:r w:rsidR="002956FA" w:rsidRPr="007706F5">
        <w:rPr>
          <w:rFonts w:ascii="Arial" w:eastAsia="Calibri" w:hAnsi="Arial" w:cs="Arial"/>
        </w:rPr>
        <w:t xml:space="preserve">daily rates </w:t>
      </w:r>
      <w:r w:rsidRPr="007706F5">
        <w:rPr>
          <w:rFonts w:ascii="Arial" w:eastAsia="Calibri" w:hAnsi="Arial" w:cs="Arial"/>
        </w:rPr>
        <w:t xml:space="preserve">for other domestic centres </w:t>
      </w:r>
      <w:r w:rsidR="002956FA" w:rsidRPr="007706F5">
        <w:rPr>
          <w:rFonts w:ascii="Arial" w:eastAsia="Calibri" w:hAnsi="Arial" w:cs="Arial"/>
        </w:rPr>
        <w:t xml:space="preserve">ranging </w:t>
      </w:r>
      <w:r w:rsidRPr="007706F5">
        <w:rPr>
          <w:rFonts w:ascii="Arial" w:eastAsia="Calibri" w:hAnsi="Arial" w:cs="Arial"/>
        </w:rPr>
        <w:t xml:space="preserve">from $275.65 to $293.65. </w:t>
      </w:r>
    </w:p>
    <w:p w14:paraId="3AA75B85" w14:textId="77777777" w:rsidR="0095144A" w:rsidRPr="007706F5" w:rsidRDefault="0095144A">
      <w:pPr>
        <w:rPr>
          <w:rFonts w:ascii="Arial" w:eastAsia="Calibri" w:hAnsi="Arial" w:cs="Arial"/>
        </w:rPr>
      </w:pPr>
    </w:p>
    <w:p w14:paraId="5CB3D4B9" w14:textId="75D99C48" w:rsidR="0095144A" w:rsidRPr="007706F5" w:rsidRDefault="0095144A" w:rsidP="00CB794E">
      <w:pPr>
        <w:keepNext/>
        <w:keepLines/>
        <w:spacing w:after="200" w:line="276" w:lineRule="auto"/>
        <w:rPr>
          <w:rFonts w:ascii="Arial" w:eastAsia="Calibri" w:hAnsi="Arial" w:cs="Arial"/>
        </w:rPr>
      </w:pPr>
      <w:r w:rsidRPr="007706F5">
        <w:rPr>
          <w:rFonts w:ascii="Arial" w:eastAsia="Calibri" w:hAnsi="Arial" w:cs="Arial"/>
        </w:rPr>
        <w:lastRenderedPageBreak/>
        <w:t>Accordingly, the Tribunal has decided to set the DTA rates as follows:</w:t>
      </w:r>
    </w:p>
    <w:tbl>
      <w:tblPr>
        <w:tblStyle w:val="TableGrid"/>
        <w:tblW w:w="0" w:type="auto"/>
        <w:tblLook w:val="04A0" w:firstRow="1" w:lastRow="0" w:firstColumn="1" w:lastColumn="0" w:noHBand="0" w:noVBand="1"/>
      </w:tblPr>
      <w:tblGrid>
        <w:gridCol w:w="4814"/>
        <w:gridCol w:w="4814"/>
      </w:tblGrid>
      <w:tr w:rsidR="002A056D" w:rsidRPr="007706F5" w14:paraId="419045C2" w14:textId="77777777" w:rsidTr="001A48CE">
        <w:tc>
          <w:tcPr>
            <w:tcW w:w="4814" w:type="dxa"/>
            <w:shd w:val="clear" w:color="auto" w:fill="8EAADB" w:themeFill="accent1" w:themeFillTint="99"/>
          </w:tcPr>
          <w:p w14:paraId="56BB2D5B" w14:textId="60C15B60" w:rsidR="002A056D" w:rsidRPr="007706F5" w:rsidRDefault="00CF27C9" w:rsidP="00CB794E">
            <w:pPr>
              <w:keepNext/>
              <w:keepLines/>
              <w:rPr>
                <w:rFonts w:ascii="Arial" w:hAnsi="Arial" w:cs="Arial"/>
                <w:b/>
                <w:sz w:val="20"/>
                <w:szCs w:val="20"/>
              </w:rPr>
            </w:pPr>
            <w:r w:rsidRPr="007706F5">
              <w:rPr>
                <w:rFonts w:ascii="Arial" w:hAnsi="Arial" w:cs="Arial"/>
                <w:lang w:val="en-US"/>
              </w:rPr>
              <w:br w:type="page"/>
            </w:r>
            <w:r w:rsidR="002A056D" w:rsidRPr="007706F5">
              <w:rPr>
                <w:rFonts w:ascii="Arial" w:hAnsi="Arial" w:cs="Arial"/>
                <w:b/>
                <w:sz w:val="20"/>
                <w:szCs w:val="20"/>
              </w:rPr>
              <w:t>Location of Overnight stay</w:t>
            </w:r>
          </w:p>
        </w:tc>
        <w:tc>
          <w:tcPr>
            <w:tcW w:w="4814" w:type="dxa"/>
            <w:shd w:val="clear" w:color="auto" w:fill="8EAADB" w:themeFill="accent1" w:themeFillTint="99"/>
          </w:tcPr>
          <w:p w14:paraId="65C7EB07" w14:textId="77777777" w:rsidR="002A056D" w:rsidRPr="007706F5" w:rsidRDefault="002A056D" w:rsidP="00CB794E">
            <w:pPr>
              <w:keepNext/>
              <w:keepLines/>
              <w:rPr>
                <w:rFonts w:ascii="Arial" w:hAnsi="Arial" w:cs="Arial"/>
                <w:b/>
                <w:sz w:val="20"/>
                <w:szCs w:val="20"/>
              </w:rPr>
            </w:pPr>
            <w:r w:rsidRPr="007706F5">
              <w:rPr>
                <w:rFonts w:ascii="Arial" w:hAnsi="Arial" w:cs="Arial"/>
                <w:b/>
                <w:sz w:val="20"/>
                <w:szCs w:val="20"/>
              </w:rPr>
              <w:t>Amount</w:t>
            </w:r>
          </w:p>
        </w:tc>
      </w:tr>
      <w:tr w:rsidR="002A056D" w:rsidRPr="007706F5" w14:paraId="2C76B788" w14:textId="77777777" w:rsidTr="001A48CE">
        <w:tc>
          <w:tcPr>
            <w:tcW w:w="4814" w:type="dxa"/>
          </w:tcPr>
          <w:p w14:paraId="56D0F1A0" w14:textId="77777777" w:rsidR="002A056D" w:rsidRPr="007706F5" w:rsidRDefault="002A056D" w:rsidP="00CB794E">
            <w:pPr>
              <w:keepNext/>
              <w:keepLines/>
              <w:rPr>
                <w:rFonts w:ascii="Arial" w:hAnsi="Arial" w:cs="Arial"/>
                <w:sz w:val="20"/>
                <w:szCs w:val="20"/>
              </w:rPr>
            </w:pPr>
            <w:r w:rsidRPr="007706F5">
              <w:rPr>
                <w:rFonts w:ascii="Arial" w:hAnsi="Arial" w:cs="Arial"/>
                <w:sz w:val="20"/>
                <w:szCs w:val="20"/>
              </w:rPr>
              <w:t>State and Territory capital cities within Australia as well as Wellington (New Zealand) and Port Moresby (Papua New Guinea)</w:t>
            </w:r>
          </w:p>
        </w:tc>
        <w:tc>
          <w:tcPr>
            <w:tcW w:w="4814" w:type="dxa"/>
          </w:tcPr>
          <w:p w14:paraId="28D27246" w14:textId="4210A127" w:rsidR="002A056D" w:rsidRPr="007706F5" w:rsidRDefault="002A056D" w:rsidP="00CB794E">
            <w:pPr>
              <w:keepNext/>
              <w:keepLines/>
              <w:rPr>
                <w:rFonts w:ascii="Arial" w:hAnsi="Arial" w:cs="Arial"/>
                <w:sz w:val="20"/>
                <w:szCs w:val="20"/>
              </w:rPr>
            </w:pPr>
            <w:r w:rsidRPr="007706F5">
              <w:rPr>
                <w:rFonts w:ascii="Arial" w:hAnsi="Arial" w:cs="Arial"/>
                <w:sz w:val="20"/>
                <w:szCs w:val="20"/>
              </w:rPr>
              <w:t>$399.00 per day</w:t>
            </w:r>
          </w:p>
        </w:tc>
      </w:tr>
      <w:tr w:rsidR="002A056D" w:rsidRPr="007706F5" w14:paraId="569B2F96" w14:textId="77777777" w:rsidTr="001A48CE">
        <w:tc>
          <w:tcPr>
            <w:tcW w:w="4814" w:type="dxa"/>
          </w:tcPr>
          <w:p w14:paraId="616B968D" w14:textId="77777777" w:rsidR="002A056D" w:rsidRPr="007706F5" w:rsidRDefault="002A056D" w:rsidP="001A48CE">
            <w:pPr>
              <w:rPr>
                <w:rFonts w:ascii="Arial" w:hAnsi="Arial" w:cs="Arial"/>
                <w:sz w:val="20"/>
                <w:szCs w:val="20"/>
              </w:rPr>
            </w:pPr>
            <w:r w:rsidRPr="007706F5">
              <w:rPr>
                <w:rFonts w:ascii="Arial" w:hAnsi="Arial" w:cs="Arial"/>
                <w:sz w:val="20"/>
                <w:szCs w:val="20"/>
              </w:rPr>
              <w:t>All other destinations</w:t>
            </w:r>
          </w:p>
        </w:tc>
        <w:tc>
          <w:tcPr>
            <w:tcW w:w="4814" w:type="dxa"/>
          </w:tcPr>
          <w:p w14:paraId="777B7743" w14:textId="1526C007" w:rsidR="002A056D" w:rsidRPr="007706F5" w:rsidRDefault="002A056D" w:rsidP="001A48CE">
            <w:pPr>
              <w:rPr>
                <w:rFonts w:ascii="Arial" w:hAnsi="Arial" w:cs="Arial"/>
                <w:sz w:val="20"/>
                <w:szCs w:val="20"/>
              </w:rPr>
            </w:pPr>
            <w:r w:rsidRPr="007706F5">
              <w:rPr>
                <w:rFonts w:ascii="Arial" w:hAnsi="Arial" w:cs="Arial"/>
                <w:sz w:val="20"/>
                <w:szCs w:val="20"/>
              </w:rPr>
              <w:t>$284.00 per day</w:t>
            </w:r>
          </w:p>
        </w:tc>
      </w:tr>
      <w:tr w:rsidR="002A056D" w:rsidRPr="007706F5" w14:paraId="415037B0" w14:textId="77777777" w:rsidTr="001A48CE">
        <w:tc>
          <w:tcPr>
            <w:tcW w:w="4814" w:type="dxa"/>
          </w:tcPr>
          <w:p w14:paraId="1A7D7D36" w14:textId="77777777" w:rsidR="002A056D" w:rsidRPr="007706F5" w:rsidRDefault="002A056D" w:rsidP="001A48CE">
            <w:pPr>
              <w:rPr>
                <w:rFonts w:ascii="Arial" w:hAnsi="Arial" w:cs="Arial"/>
                <w:sz w:val="20"/>
                <w:szCs w:val="20"/>
              </w:rPr>
            </w:pPr>
            <w:r w:rsidRPr="007706F5">
              <w:rPr>
                <w:rFonts w:ascii="Arial" w:hAnsi="Arial" w:cs="Arial"/>
                <w:sz w:val="20"/>
                <w:szCs w:val="20"/>
              </w:rPr>
              <w:t>Overseas</w:t>
            </w:r>
          </w:p>
        </w:tc>
        <w:tc>
          <w:tcPr>
            <w:tcW w:w="4814" w:type="dxa"/>
          </w:tcPr>
          <w:p w14:paraId="5B3953C9" w14:textId="77777777" w:rsidR="002A056D" w:rsidRPr="007706F5" w:rsidRDefault="002A056D" w:rsidP="001A48CE">
            <w:pPr>
              <w:rPr>
                <w:rFonts w:ascii="Arial" w:hAnsi="Arial" w:cs="Arial"/>
                <w:sz w:val="20"/>
                <w:szCs w:val="20"/>
              </w:rPr>
            </w:pPr>
            <w:r w:rsidRPr="007706F5">
              <w:rPr>
                <w:rFonts w:ascii="Arial" w:hAnsi="Arial" w:cs="Arial"/>
                <w:sz w:val="20"/>
                <w:szCs w:val="20"/>
              </w:rPr>
              <w:t>$333.00 per day</w:t>
            </w:r>
          </w:p>
        </w:tc>
      </w:tr>
    </w:tbl>
    <w:p w14:paraId="39039A08" w14:textId="77777777" w:rsidR="002A056D" w:rsidRPr="007706F5" w:rsidRDefault="002A056D">
      <w:pPr>
        <w:rPr>
          <w:rFonts w:ascii="Arial" w:hAnsi="Arial" w:cs="Arial"/>
          <w:lang w:val="en-US"/>
        </w:rPr>
      </w:pPr>
    </w:p>
    <w:p w14:paraId="71771FBE" w14:textId="77777777" w:rsidR="00CE56D1" w:rsidRPr="007706F5" w:rsidRDefault="009936E7" w:rsidP="00F95908">
      <w:pPr>
        <w:keepNext/>
        <w:spacing w:after="200" w:line="276" w:lineRule="auto"/>
        <w:rPr>
          <w:rFonts w:ascii="Arial" w:eastAsia="Calibri" w:hAnsi="Arial" w:cs="Arial"/>
        </w:rPr>
      </w:pPr>
      <w:r w:rsidRPr="007706F5">
        <w:rPr>
          <w:rFonts w:ascii="Arial" w:eastAsia="Calibri" w:hAnsi="Arial" w:cs="Arial"/>
        </w:rPr>
        <w:t xml:space="preserve">The PBOR for conducting Parliamentary Business in Brisbane city </w:t>
      </w:r>
      <w:r w:rsidR="00CE56D1" w:rsidRPr="007706F5">
        <w:rPr>
          <w:rFonts w:ascii="Arial" w:eastAsia="Calibri" w:hAnsi="Arial" w:cs="Arial"/>
        </w:rPr>
        <w:t xml:space="preserve">will be as follows: </w:t>
      </w:r>
    </w:p>
    <w:tbl>
      <w:tblPr>
        <w:tblStyle w:val="TableGrid"/>
        <w:tblW w:w="0" w:type="auto"/>
        <w:tblLook w:val="04A0" w:firstRow="1" w:lastRow="0" w:firstColumn="1" w:lastColumn="0" w:noHBand="0" w:noVBand="1"/>
      </w:tblPr>
      <w:tblGrid>
        <w:gridCol w:w="6516"/>
        <w:gridCol w:w="3112"/>
      </w:tblGrid>
      <w:tr w:rsidR="00CE56D1" w:rsidRPr="007706F5" w14:paraId="3D68C439" w14:textId="77777777" w:rsidTr="002169C6">
        <w:tc>
          <w:tcPr>
            <w:tcW w:w="6516" w:type="dxa"/>
            <w:shd w:val="clear" w:color="auto" w:fill="8EAADB" w:themeFill="accent1" w:themeFillTint="99"/>
          </w:tcPr>
          <w:p w14:paraId="3DE46752" w14:textId="77777777" w:rsidR="00CE56D1" w:rsidRPr="00CB794E" w:rsidRDefault="00CE56D1" w:rsidP="002169C6">
            <w:pPr>
              <w:keepNext/>
              <w:keepLines/>
              <w:rPr>
                <w:rFonts w:ascii="Arial" w:hAnsi="Arial" w:cs="Arial"/>
                <w:b/>
                <w:sz w:val="20"/>
                <w:szCs w:val="20"/>
                <w:lang w:val="en-US"/>
              </w:rPr>
            </w:pPr>
            <w:r w:rsidRPr="00CB794E">
              <w:rPr>
                <w:rFonts w:ascii="Arial" w:hAnsi="Arial" w:cs="Arial"/>
                <w:b/>
                <w:sz w:val="20"/>
                <w:szCs w:val="20"/>
                <w:lang w:val="en-US"/>
              </w:rPr>
              <w:t>Circumstance</w:t>
            </w:r>
          </w:p>
        </w:tc>
        <w:tc>
          <w:tcPr>
            <w:tcW w:w="3112" w:type="dxa"/>
            <w:shd w:val="clear" w:color="auto" w:fill="8EAADB" w:themeFill="accent1" w:themeFillTint="99"/>
          </w:tcPr>
          <w:p w14:paraId="7E5C7E5D" w14:textId="77777777" w:rsidR="00CE56D1" w:rsidRPr="00CB794E" w:rsidRDefault="00CE56D1" w:rsidP="002169C6">
            <w:pPr>
              <w:keepNext/>
              <w:keepLines/>
              <w:rPr>
                <w:rFonts w:ascii="Arial" w:hAnsi="Arial" w:cs="Arial"/>
                <w:b/>
                <w:sz w:val="20"/>
                <w:szCs w:val="20"/>
                <w:lang w:val="en-US"/>
              </w:rPr>
            </w:pPr>
            <w:r w:rsidRPr="00CB794E">
              <w:rPr>
                <w:rFonts w:ascii="Arial" w:hAnsi="Arial" w:cs="Arial"/>
                <w:b/>
                <w:sz w:val="20"/>
                <w:szCs w:val="20"/>
                <w:lang w:val="en-US"/>
              </w:rPr>
              <w:t xml:space="preserve">Amount </w:t>
            </w:r>
          </w:p>
        </w:tc>
      </w:tr>
      <w:tr w:rsidR="00CE56D1" w:rsidRPr="007706F5" w14:paraId="48D5D5A3" w14:textId="77777777" w:rsidTr="002169C6">
        <w:tc>
          <w:tcPr>
            <w:tcW w:w="6516" w:type="dxa"/>
          </w:tcPr>
          <w:p w14:paraId="773CA415" w14:textId="77777777"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 xml:space="preserve">Members provided with overnight accommodation in the Parliamentary </w:t>
            </w:r>
            <w:proofErr w:type="spellStart"/>
            <w:r w:rsidRPr="00CB794E">
              <w:rPr>
                <w:rFonts w:ascii="Arial" w:hAnsi="Arial" w:cs="Arial"/>
                <w:sz w:val="20"/>
                <w:szCs w:val="20"/>
                <w:lang w:val="en-US"/>
              </w:rPr>
              <w:t>Annexe</w:t>
            </w:r>
            <w:proofErr w:type="spellEnd"/>
          </w:p>
        </w:tc>
        <w:tc>
          <w:tcPr>
            <w:tcW w:w="3112" w:type="dxa"/>
          </w:tcPr>
          <w:p w14:paraId="6C6FB09D" w14:textId="22BA99FD"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$133.00 per day</w:t>
            </w:r>
          </w:p>
          <w:p w14:paraId="13D761F6" w14:textId="3D9FD696"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(1/3</w:t>
            </w:r>
            <w:r w:rsidRPr="00CB794E">
              <w:rPr>
                <w:rFonts w:ascii="Arial" w:hAnsi="Arial" w:cs="Arial"/>
                <w:sz w:val="20"/>
                <w:szCs w:val="20"/>
                <w:vertAlign w:val="superscript"/>
                <w:lang w:val="en-US"/>
              </w:rPr>
              <w:t>rd</w:t>
            </w:r>
            <w:r w:rsidRPr="00CB794E">
              <w:rPr>
                <w:rFonts w:ascii="Arial" w:hAnsi="Arial" w:cs="Arial"/>
                <w:sz w:val="20"/>
                <w:szCs w:val="20"/>
                <w:lang w:val="en-US"/>
              </w:rPr>
              <w:t xml:space="preserve"> </w:t>
            </w:r>
            <w:r w:rsidR="00B417FA" w:rsidRPr="00CB794E">
              <w:rPr>
                <w:rFonts w:ascii="Arial" w:hAnsi="Arial" w:cs="Arial"/>
                <w:sz w:val="20"/>
                <w:szCs w:val="20"/>
                <w:lang w:val="en-US"/>
              </w:rPr>
              <w:t>of the current capital city rate</w:t>
            </w:r>
            <w:r w:rsidRPr="00CB794E">
              <w:rPr>
                <w:rFonts w:ascii="Arial" w:hAnsi="Arial" w:cs="Arial"/>
                <w:sz w:val="20"/>
                <w:szCs w:val="20"/>
                <w:lang w:val="en-US"/>
              </w:rPr>
              <w:t>)</w:t>
            </w:r>
          </w:p>
        </w:tc>
      </w:tr>
      <w:tr w:rsidR="00CE56D1" w:rsidRPr="007706F5" w14:paraId="350AC26B" w14:textId="77777777" w:rsidTr="002169C6">
        <w:tc>
          <w:tcPr>
            <w:tcW w:w="6516" w:type="dxa"/>
          </w:tcPr>
          <w:p w14:paraId="4E719BB1" w14:textId="77777777"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 xml:space="preserve">Members representing Brisbane based electorates not provided with overnight accommodation in the Parliamentary </w:t>
            </w:r>
            <w:proofErr w:type="spellStart"/>
            <w:r w:rsidRPr="00CB794E">
              <w:rPr>
                <w:rFonts w:ascii="Arial" w:hAnsi="Arial" w:cs="Arial"/>
                <w:sz w:val="20"/>
                <w:szCs w:val="20"/>
                <w:lang w:val="en-US"/>
              </w:rPr>
              <w:t>Annexe</w:t>
            </w:r>
            <w:proofErr w:type="spellEnd"/>
            <w:r w:rsidRPr="00CB794E">
              <w:rPr>
                <w:rFonts w:ascii="Arial" w:hAnsi="Arial" w:cs="Arial"/>
                <w:sz w:val="20"/>
                <w:szCs w:val="20"/>
                <w:lang w:val="en-US"/>
              </w:rPr>
              <w:t xml:space="preserve"> who stay in commercial accommodation facilities for an overnight stay (</w:t>
            </w:r>
            <w:proofErr w:type="gramStart"/>
            <w:r w:rsidRPr="00CB794E">
              <w:rPr>
                <w:rFonts w:ascii="Arial" w:hAnsi="Arial" w:cs="Arial"/>
                <w:sz w:val="20"/>
                <w:szCs w:val="20"/>
                <w:lang w:val="en-US"/>
              </w:rPr>
              <w:t>e.g.</w:t>
            </w:r>
            <w:proofErr w:type="gramEnd"/>
            <w:r w:rsidRPr="00CB794E">
              <w:rPr>
                <w:rFonts w:ascii="Arial" w:hAnsi="Arial" w:cs="Arial"/>
                <w:sz w:val="20"/>
                <w:szCs w:val="20"/>
                <w:lang w:val="en-US"/>
              </w:rPr>
              <w:t xml:space="preserve"> hotel)</w:t>
            </w:r>
          </w:p>
        </w:tc>
        <w:tc>
          <w:tcPr>
            <w:tcW w:w="3112" w:type="dxa"/>
          </w:tcPr>
          <w:p w14:paraId="776EA818" w14:textId="0E0869D3"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$133.00 per day</w:t>
            </w:r>
          </w:p>
          <w:p w14:paraId="6B3395E7" w14:textId="58463684"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(1/3</w:t>
            </w:r>
            <w:r w:rsidRPr="00CB794E">
              <w:rPr>
                <w:rFonts w:ascii="Arial" w:hAnsi="Arial" w:cs="Arial"/>
                <w:sz w:val="20"/>
                <w:szCs w:val="20"/>
                <w:vertAlign w:val="superscript"/>
                <w:lang w:val="en-US"/>
              </w:rPr>
              <w:t>rd</w:t>
            </w:r>
            <w:r w:rsidRPr="00CB794E">
              <w:rPr>
                <w:rFonts w:ascii="Arial" w:hAnsi="Arial" w:cs="Arial"/>
                <w:sz w:val="20"/>
                <w:szCs w:val="20"/>
                <w:lang w:val="en-US"/>
              </w:rPr>
              <w:t xml:space="preserve"> </w:t>
            </w:r>
            <w:r w:rsidR="00B417FA" w:rsidRPr="00CB794E">
              <w:rPr>
                <w:rFonts w:ascii="Arial" w:hAnsi="Arial" w:cs="Arial"/>
                <w:sz w:val="20"/>
                <w:szCs w:val="20"/>
                <w:lang w:val="en-US"/>
              </w:rPr>
              <w:t>of the current capital city rate)</w:t>
            </w:r>
          </w:p>
        </w:tc>
      </w:tr>
      <w:tr w:rsidR="00CE56D1" w:rsidRPr="007706F5" w14:paraId="3EA4622B" w14:textId="77777777" w:rsidTr="002169C6">
        <w:tc>
          <w:tcPr>
            <w:tcW w:w="6516" w:type="dxa"/>
          </w:tcPr>
          <w:p w14:paraId="78D15451" w14:textId="77777777"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 xml:space="preserve">Other members not provided with overnight accommodation in the Parliamentary </w:t>
            </w:r>
            <w:proofErr w:type="spellStart"/>
            <w:r w:rsidRPr="00CB794E">
              <w:rPr>
                <w:rFonts w:ascii="Arial" w:hAnsi="Arial" w:cs="Arial"/>
                <w:sz w:val="20"/>
                <w:szCs w:val="20"/>
                <w:lang w:val="en-US"/>
              </w:rPr>
              <w:t>Annexe</w:t>
            </w:r>
            <w:proofErr w:type="spellEnd"/>
            <w:r w:rsidRPr="00CB794E">
              <w:rPr>
                <w:rFonts w:ascii="Arial" w:hAnsi="Arial" w:cs="Arial"/>
                <w:sz w:val="20"/>
                <w:szCs w:val="20"/>
                <w:lang w:val="en-US"/>
              </w:rPr>
              <w:t xml:space="preserve"> who stay in commercial accommodation facilities for an overnight stay (</w:t>
            </w:r>
            <w:proofErr w:type="gramStart"/>
            <w:r w:rsidRPr="00CB794E">
              <w:rPr>
                <w:rFonts w:ascii="Arial" w:hAnsi="Arial" w:cs="Arial"/>
                <w:sz w:val="20"/>
                <w:szCs w:val="20"/>
                <w:lang w:val="en-US"/>
              </w:rPr>
              <w:t>e.g.</w:t>
            </w:r>
            <w:proofErr w:type="gramEnd"/>
            <w:r w:rsidRPr="00CB794E">
              <w:rPr>
                <w:rFonts w:ascii="Arial" w:hAnsi="Arial" w:cs="Arial"/>
                <w:sz w:val="20"/>
                <w:szCs w:val="20"/>
                <w:lang w:val="en-US"/>
              </w:rPr>
              <w:t xml:space="preserve"> hotel)</w:t>
            </w:r>
          </w:p>
        </w:tc>
        <w:tc>
          <w:tcPr>
            <w:tcW w:w="3112" w:type="dxa"/>
          </w:tcPr>
          <w:p w14:paraId="119C9247" w14:textId="03F9B41F" w:rsidR="00CE56D1" w:rsidRPr="00CB794E" w:rsidRDefault="00CE56D1" w:rsidP="002169C6">
            <w:pPr>
              <w:keepNext/>
              <w:keepLines/>
              <w:rPr>
                <w:rFonts w:ascii="Arial" w:hAnsi="Arial" w:cs="Arial"/>
                <w:sz w:val="20"/>
                <w:szCs w:val="20"/>
                <w:lang w:val="en-US"/>
              </w:rPr>
            </w:pPr>
            <w:r w:rsidRPr="00CB794E">
              <w:rPr>
                <w:rFonts w:ascii="Arial" w:hAnsi="Arial" w:cs="Arial"/>
                <w:sz w:val="20"/>
                <w:szCs w:val="20"/>
                <w:lang w:val="en-US"/>
              </w:rPr>
              <w:t xml:space="preserve">$399.00 per day. </w:t>
            </w:r>
          </w:p>
        </w:tc>
      </w:tr>
    </w:tbl>
    <w:p w14:paraId="697FFE13" w14:textId="57FFAA3D" w:rsidR="002A056D" w:rsidRPr="007706F5" w:rsidRDefault="002A056D" w:rsidP="00CE56D1">
      <w:pPr>
        <w:spacing w:before="240" w:after="200" w:line="276" w:lineRule="auto"/>
        <w:rPr>
          <w:rFonts w:ascii="Arial" w:eastAsia="Calibri" w:hAnsi="Arial" w:cs="Arial"/>
        </w:rPr>
      </w:pPr>
      <w:r w:rsidRPr="007706F5">
        <w:rPr>
          <w:rFonts w:ascii="Arial" w:eastAsia="Calibri" w:hAnsi="Arial" w:cs="Arial"/>
        </w:rPr>
        <w:t xml:space="preserve">The current administrative arrangements and circumstances for claiming the full or </w:t>
      </w:r>
      <w:r w:rsidR="002956FA" w:rsidRPr="007706F5">
        <w:rPr>
          <w:rFonts w:ascii="Arial" w:eastAsia="Calibri" w:hAnsi="Arial" w:cs="Arial"/>
        </w:rPr>
        <w:t>1/3</w:t>
      </w:r>
      <w:r w:rsidR="002956FA" w:rsidRPr="007706F5">
        <w:rPr>
          <w:rFonts w:ascii="Arial" w:eastAsia="Calibri" w:hAnsi="Arial" w:cs="Arial"/>
          <w:vertAlign w:val="superscript"/>
        </w:rPr>
        <w:t>rd</w:t>
      </w:r>
      <w:r w:rsidR="002956FA" w:rsidRPr="007706F5">
        <w:rPr>
          <w:rFonts w:ascii="Arial" w:eastAsia="Calibri" w:hAnsi="Arial" w:cs="Arial"/>
        </w:rPr>
        <w:t xml:space="preserve"> </w:t>
      </w:r>
      <w:r w:rsidRPr="007706F5">
        <w:rPr>
          <w:rFonts w:ascii="Arial" w:eastAsia="Calibri" w:hAnsi="Arial" w:cs="Arial"/>
        </w:rPr>
        <w:t>DTA</w:t>
      </w:r>
      <w:r w:rsidR="00CE56D1" w:rsidRPr="007706F5">
        <w:rPr>
          <w:rFonts w:ascii="Arial" w:eastAsia="Calibri" w:hAnsi="Arial" w:cs="Arial"/>
        </w:rPr>
        <w:t xml:space="preserve"> within the GTA</w:t>
      </w:r>
      <w:r w:rsidRPr="007706F5">
        <w:rPr>
          <w:rFonts w:ascii="Arial" w:eastAsia="Calibri" w:hAnsi="Arial" w:cs="Arial"/>
        </w:rPr>
        <w:t xml:space="preserve"> </w:t>
      </w:r>
      <w:r w:rsidR="00CE56D1" w:rsidRPr="007706F5">
        <w:rPr>
          <w:rFonts w:ascii="Arial" w:eastAsia="Calibri" w:hAnsi="Arial" w:cs="Arial"/>
        </w:rPr>
        <w:t xml:space="preserve">and PBOR </w:t>
      </w:r>
      <w:r w:rsidRPr="007706F5">
        <w:rPr>
          <w:rFonts w:ascii="Arial" w:eastAsia="Calibri" w:hAnsi="Arial" w:cs="Arial"/>
        </w:rPr>
        <w:t xml:space="preserve">are </w:t>
      </w:r>
      <w:r w:rsidR="007A0651" w:rsidRPr="007706F5">
        <w:rPr>
          <w:rFonts w:ascii="Arial" w:eastAsia="Calibri" w:hAnsi="Arial" w:cs="Arial"/>
        </w:rPr>
        <w:t>retained</w:t>
      </w:r>
      <w:r w:rsidRPr="007706F5">
        <w:rPr>
          <w:rFonts w:ascii="Arial" w:eastAsia="Calibri" w:hAnsi="Arial" w:cs="Arial"/>
        </w:rPr>
        <w:t xml:space="preserve">. </w:t>
      </w:r>
      <w:r w:rsidR="00CE56D1" w:rsidRPr="007706F5">
        <w:rPr>
          <w:rFonts w:ascii="Arial" w:eastAsia="Calibri" w:hAnsi="Arial" w:cs="Arial"/>
        </w:rPr>
        <w:t xml:space="preserve">The Tribunal will continue to monitor expenditure of the GTA to ensure the quantum remains sufficient to enable members to travel to conduct parliamentary business, noting the increased DTA amount. </w:t>
      </w:r>
    </w:p>
    <w:p w14:paraId="14BD7E45" w14:textId="6E4319C8" w:rsidR="002A056D" w:rsidRPr="007706F5" w:rsidRDefault="002A056D">
      <w:pPr>
        <w:rPr>
          <w:rFonts w:ascii="Arial" w:eastAsia="Calibri" w:hAnsi="Arial" w:cs="Arial"/>
          <w:sz w:val="23"/>
          <w:szCs w:val="23"/>
        </w:rPr>
      </w:pPr>
      <w:r w:rsidRPr="007706F5">
        <w:rPr>
          <w:rFonts w:ascii="Arial" w:eastAsia="Calibri" w:hAnsi="Arial" w:cs="Arial"/>
          <w:sz w:val="23"/>
          <w:szCs w:val="23"/>
        </w:rPr>
        <w:br w:type="page"/>
      </w:r>
    </w:p>
    <w:p w14:paraId="133F272F" w14:textId="495ED4A0" w:rsidR="002A056D" w:rsidRPr="007706F5" w:rsidRDefault="002A056D" w:rsidP="002A056D">
      <w:pPr>
        <w:pStyle w:val="Subtitle"/>
        <w:spacing w:after="160" w:line="259" w:lineRule="auto"/>
        <w:rPr>
          <w:rFonts w:ascii="Arial" w:hAnsi="Arial" w:cs="Arial"/>
          <w:sz w:val="22"/>
          <w:szCs w:val="22"/>
        </w:rPr>
      </w:pPr>
      <w:r w:rsidRPr="007706F5">
        <w:rPr>
          <w:rFonts w:ascii="Arial" w:hAnsi="Arial" w:cs="Arial"/>
          <w:sz w:val="22"/>
          <w:szCs w:val="22"/>
        </w:rPr>
        <w:lastRenderedPageBreak/>
        <w:t>Travel for Opposition Spokespersons and leaders of minor parties</w:t>
      </w:r>
    </w:p>
    <w:p w14:paraId="5198C743" w14:textId="10AF5561" w:rsidR="0074629E" w:rsidRPr="00EB58B1" w:rsidRDefault="0074629E" w:rsidP="00663B4A">
      <w:pPr>
        <w:spacing w:after="200" w:line="276" w:lineRule="auto"/>
        <w:rPr>
          <w:rFonts w:ascii="Arial" w:eastAsia="Calibri" w:hAnsi="Arial" w:cs="Arial"/>
        </w:rPr>
      </w:pPr>
      <w:r w:rsidRPr="00EB58B1">
        <w:rPr>
          <w:rFonts w:ascii="Arial" w:eastAsia="Calibri" w:hAnsi="Arial" w:cs="Arial"/>
        </w:rPr>
        <w:t>The Tribunal has received submission</w:t>
      </w:r>
      <w:r w:rsidR="00024FAA" w:rsidRPr="00EB58B1">
        <w:rPr>
          <w:rFonts w:ascii="Arial" w:eastAsia="Calibri" w:hAnsi="Arial" w:cs="Arial"/>
        </w:rPr>
        <w:t xml:space="preserve">s </w:t>
      </w:r>
      <w:r w:rsidRPr="00EB58B1">
        <w:rPr>
          <w:rFonts w:ascii="Arial" w:eastAsia="Calibri" w:hAnsi="Arial" w:cs="Arial"/>
        </w:rPr>
        <w:t>in relation to travel for Opposition Spokespersons</w:t>
      </w:r>
      <w:r w:rsidR="008547C3" w:rsidRPr="00EB58B1">
        <w:rPr>
          <w:rFonts w:ascii="Arial" w:eastAsia="Calibri" w:hAnsi="Arial" w:cs="Arial"/>
        </w:rPr>
        <w:t xml:space="preserve"> providing </w:t>
      </w:r>
      <w:r w:rsidRPr="00EB58B1">
        <w:rPr>
          <w:rFonts w:ascii="Arial" w:eastAsia="Calibri" w:hAnsi="Arial" w:cs="Arial"/>
        </w:rPr>
        <w:t>that:</w:t>
      </w:r>
    </w:p>
    <w:p w14:paraId="2DA52F50" w14:textId="77777777" w:rsidR="0074629E" w:rsidRPr="00EB58B1" w:rsidRDefault="0074629E" w:rsidP="00AC7BED">
      <w:pPr>
        <w:pStyle w:val="ListParagraph"/>
        <w:numPr>
          <w:ilvl w:val="0"/>
          <w:numId w:val="11"/>
        </w:numPr>
        <w:spacing w:after="200" w:line="276" w:lineRule="auto"/>
        <w:rPr>
          <w:rFonts w:ascii="Arial" w:eastAsia="Calibri" w:hAnsi="Arial" w:cs="Arial"/>
        </w:rPr>
      </w:pPr>
      <w:r w:rsidRPr="00EB58B1">
        <w:rPr>
          <w:rFonts w:ascii="Arial" w:eastAsia="Calibri" w:hAnsi="Arial" w:cs="Arial"/>
        </w:rPr>
        <w:t xml:space="preserve">Ministers receive Ministerial travel through the ministerial </w:t>
      </w:r>
      <w:proofErr w:type="gramStart"/>
      <w:r w:rsidRPr="00EB58B1">
        <w:rPr>
          <w:rFonts w:ascii="Arial" w:eastAsia="Calibri" w:hAnsi="Arial" w:cs="Arial"/>
        </w:rPr>
        <w:t>budget</w:t>
      </w:r>
      <w:proofErr w:type="gramEnd"/>
    </w:p>
    <w:p w14:paraId="560FD7BD" w14:textId="635F8AA7" w:rsidR="002A056D" w:rsidRPr="00EB58B1" w:rsidRDefault="0074629E" w:rsidP="00AC7BED">
      <w:pPr>
        <w:pStyle w:val="ListParagraph"/>
        <w:numPr>
          <w:ilvl w:val="0"/>
          <w:numId w:val="11"/>
        </w:numPr>
        <w:spacing w:after="200" w:line="276" w:lineRule="auto"/>
        <w:rPr>
          <w:rFonts w:ascii="Arial" w:eastAsia="Calibri" w:hAnsi="Arial" w:cs="Arial"/>
        </w:rPr>
      </w:pPr>
      <w:r w:rsidRPr="00EB58B1">
        <w:rPr>
          <w:rFonts w:ascii="Arial" w:eastAsia="Calibri" w:hAnsi="Arial" w:cs="Arial"/>
        </w:rPr>
        <w:t xml:space="preserve">the Opposition Leaders and office receive a travel allocation, but that this allocation does not extend to Opposition </w:t>
      </w:r>
      <w:proofErr w:type="gramStart"/>
      <w:r w:rsidRPr="00EB58B1">
        <w:rPr>
          <w:rFonts w:ascii="Arial" w:eastAsia="Calibri" w:hAnsi="Arial" w:cs="Arial"/>
        </w:rPr>
        <w:t>Spokespersons</w:t>
      </w:r>
      <w:proofErr w:type="gramEnd"/>
    </w:p>
    <w:p w14:paraId="635720B4" w14:textId="5F20970C" w:rsidR="0074629E" w:rsidRPr="00EB58B1" w:rsidRDefault="0074629E" w:rsidP="00AC7BED">
      <w:pPr>
        <w:pStyle w:val="ListParagraph"/>
        <w:numPr>
          <w:ilvl w:val="0"/>
          <w:numId w:val="11"/>
        </w:numPr>
        <w:spacing w:after="200" w:line="276" w:lineRule="auto"/>
        <w:rPr>
          <w:rFonts w:ascii="Arial" w:eastAsia="Calibri" w:hAnsi="Arial" w:cs="Arial"/>
        </w:rPr>
      </w:pPr>
      <w:r w:rsidRPr="00EB58B1">
        <w:rPr>
          <w:rFonts w:ascii="Arial" w:eastAsia="Calibri" w:hAnsi="Arial" w:cs="Arial"/>
        </w:rPr>
        <w:t xml:space="preserve">members receive the GTA without reference to any office </w:t>
      </w:r>
      <w:proofErr w:type="gramStart"/>
      <w:r w:rsidRPr="00EB58B1">
        <w:rPr>
          <w:rFonts w:ascii="Arial" w:eastAsia="Calibri" w:hAnsi="Arial" w:cs="Arial"/>
        </w:rPr>
        <w:t>held</w:t>
      </w:r>
      <w:proofErr w:type="gramEnd"/>
      <w:r w:rsidRPr="00EB58B1">
        <w:rPr>
          <w:rFonts w:ascii="Arial" w:eastAsia="Calibri" w:hAnsi="Arial" w:cs="Arial"/>
        </w:rPr>
        <w:t xml:space="preserve"> </w:t>
      </w:r>
    </w:p>
    <w:p w14:paraId="252D5CD8" w14:textId="25BE1593" w:rsidR="0074629E" w:rsidRPr="00EB58B1" w:rsidRDefault="0074629E" w:rsidP="00AC7BED">
      <w:pPr>
        <w:pStyle w:val="ListParagraph"/>
        <w:numPr>
          <w:ilvl w:val="0"/>
          <w:numId w:val="11"/>
        </w:numPr>
        <w:spacing w:after="200" w:line="276" w:lineRule="auto"/>
        <w:rPr>
          <w:rFonts w:ascii="Arial" w:eastAsia="Calibri" w:hAnsi="Arial" w:cs="Arial"/>
        </w:rPr>
      </w:pPr>
      <w:r w:rsidRPr="00EB58B1">
        <w:rPr>
          <w:rFonts w:ascii="Arial" w:eastAsia="Calibri" w:hAnsi="Arial" w:cs="Arial"/>
        </w:rPr>
        <w:t xml:space="preserve">Opposition Spokespersons receive no specific travel allocation. </w:t>
      </w:r>
    </w:p>
    <w:p w14:paraId="2B4DFE18" w14:textId="0154DD86" w:rsidR="0074629E" w:rsidRPr="007706F5" w:rsidRDefault="0074629E" w:rsidP="009078B5">
      <w:pPr>
        <w:spacing w:after="200" w:line="276" w:lineRule="auto"/>
        <w:rPr>
          <w:rFonts w:ascii="Arial" w:eastAsia="Calibri" w:hAnsi="Arial" w:cs="Arial"/>
        </w:rPr>
      </w:pPr>
      <w:r w:rsidRPr="007706F5">
        <w:rPr>
          <w:rFonts w:ascii="Arial" w:eastAsia="Calibri" w:hAnsi="Arial" w:cs="Arial"/>
        </w:rPr>
        <w:t xml:space="preserve">The </w:t>
      </w:r>
      <w:r w:rsidRPr="007706F5">
        <w:rPr>
          <w:rFonts w:ascii="Arial" w:eastAsia="Calibri" w:hAnsi="Arial" w:cs="Arial"/>
          <w:i/>
        </w:rPr>
        <w:t>Queensland Opposition Handbook</w:t>
      </w:r>
      <w:r w:rsidRPr="007706F5">
        <w:rPr>
          <w:rFonts w:ascii="Arial" w:eastAsia="Calibri" w:hAnsi="Arial" w:cs="Arial"/>
        </w:rPr>
        <w:t xml:space="preserve"> </w:t>
      </w:r>
      <w:r w:rsidR="00C4774A" w:rsidRPr="007706F5">
        <w:rPr>
          <w:rFonts w:ascii="Arial" w:eastAsia="Calibri" w:hAnsi="Arial" w:cs="Arial"/>
        </w:rPr>
        <w:t xml:space="preserve">(Opposition Handbook) </w:t>
      </w:r>
      <w:r w:rsidRPr="007706F5">
        <w:rPr>
          <w:rFonts w:ascii="Arial" w:eastAsia="Calibri" w:hAnsi="Arial" w:cs="Arial"/>
        </w:rPr>
        <w:t xml:space="preserve">provides a budget for the Office of the Leader of the Opposition as set in the appropriations of the Department of the Premier and Cabinet. The Premier approves the level of Opposition resourcing and the amount of budget available for the Opposition Office during the budget process. From this budget, travel for the Leaders of the Opposition (Leader and Deputy Leader of the Opposition) may be claimed, but the Opposition Handbook expressly excludes </w:t>
      </w:r>
      <w:r w:rsidR="00C4774A" w:rsidRPr="007706F5">
        <w:rPr>
          <w:rFonts w:ascii="Arial" w:eastAsia="Calibri" w:hAnsi="Arial" w:cs="Arial"/>
        </w:rPr>
        <w:t>Opposition Spokespersons</w:t>
      </w:r>
      <w:r w:rsidRPr="007706F5">
        <w:rPr>
          <w:rFonts w:ascii="Arial" w:eastAsia="Calibri" w:hAnsi="Arial" w:cs="Arial"/>
        </w:rPr>
        <w:t xml:space="preserve"> from claiming expenses (including travel) from the budget for the Office of the Leader of the Opposition. </w:t>
      </w:r>
    </w:p>
    <w:p w14:paraId="45C863FB" w14:textId="77777777" w:rsidR="00C4774A" w:rsidRPr="007706F5" w:rsidRDefault="0074629E" w:rsidP="009078B5">
      <w:pPr>
        <w:spacing w:after="200" w:line="276" w:lineRule="auto"/>
        <w:rPr>
          <w:rFonts w:ascii="Arial" w:eastAsia="Calibri" w:hAnsi="Arial" w:cs="Arial"/>
        </w:rPr>
      </w:pPr>
      <w:r w:rsidRPr="007706F5">
        <w:rPr>
          <w:rFonts w:ascii="Arial" w:eastAsia="Calibri" w:hAnsi="Arial" w:cs="Arial"/>
        </w:rPr>
        <w:t xml:space="preserve">Each Ministerial office is provided with an allocation for ministerial travel which is determined by the government and administered through Ministerial Services in accordance with the </w:t>
      </w:r>
      <w:r w:rsidRPr="007706F5">
        <w:rPr>
          <w:rFonts w:ascii="Arial" w:eastAsia="Calibri" w:hAnsi="Arial" w:cs="Arial"/>
          <w:i/>
        </w:rPr>
        <w:t>Queensland Ministerial Handbook</w:t>
      </w:r>
      <w:r w:rsidRPr="007706F5">
        <w:rPr>
          <w:rFonts w:ascii="Arial" w:eastAsia="Calibri" w:hAnsi="Arial" w:cs="Arial"/>
        </w:rPr>
        <w:t xml:space="preserve">. </w:t>
      </w:r>
    </w:p>
    <w:p w14:paraId="1F4109AA" w14:textId="40C31E72" w:rsidR="002A056D" w:rsidRPr="007706F5" w:rsidRDefault="00C4774A" w:rsidP="009078B5">
      <w:pPr>
        <w:spacing w:after="200" w:line="276" w:lineRule="auto"/>
        <w:rPr>
          <w:rFonts w:ascii="Arial" w:eastAsia="Calibri" w:hAnsi="Arial" w:cs="Arial"/>
          <w:sz w:val="23"/>
          <w:szCs w:val="23"/>
        </w:rPr>
      </w:pPr>
      <w:r w:rsidRPr="007706F5">
        <w:rPr>
          <w:rFonts w:ascii="Arial" w:eastAsia="Calibri" w:hAnsi="Arial" w:cs="Arial"/>
        </w:rPr>
        <w:t xml:space="preserve">The Tribunal </w:t>
      </w:r>
      <w:r w:rsidR="007A0651" w:rsidRPr="007706F5">
        <w:rPr>
          <w:rFonts w:ascii="Arial" w:eastAsia="Calibri" w:hAnsi="Arial" w:cs="Arial"/>
        </w:rPr>
        <w:t xml:space="preserve">notes that Opposition Spokespersons are required to undertake additional travel by virtue of their office and that this is </w:t>
      </w:r>
      <w:r w:rsidR="007F63C7" w:rsidRPr="007706F5">
        <w:rPr>
          <w:rFonts w:ascii="Arial" w:eastAsia="Calibri" w:hAnsi="Arial" w:cs="Arial"/>
        </w:rPr>
        <w:t>currently claimable from</w:t>
      </w:r>
      <w:r w:rsidR="007A0651" w:rsidRPr="007706F5">
        <w:rPr>
          <w:rFonts w:ascii="Arial" w:eastAsia="Calibri" w:hAnsi="Arial" w:cs="Arial"/>
        </w:rPr>
        <w:t xml:space="preserve"> the GTA. It is the Tribunal’s view that</w:t>
      </w:r>
      <w:r w:rsidRPr="007706F5">
        <w:rPr>
          <w:rFonts w:ascii="Arial" w:eastAsia="Calibri" w:hAnsi="Arial" w:cs="Arial"/>
        </w:rPr>
        <w:t xml:space="preserve"> Opposition Spokespersons </w:t>
      </w:r>
      <w:r w:rsidR="007A0651" w:rsidRPr="007706F5">
        <w:rPr>
          <w:rFonts w:ascii="Arial" w:eastAsia="Calibri" w:hAnsi="Arial" w:cs="Arial"/>
        </w:rPr>
        <w:t xml:space="preserve">should </w:t>
      </w:r>
      <w:r w:rsidR="007F63C7" w:rsidRPr="007706F5">
        <w:rPr>
          <w:rFonts w:ascii="Arial" w:eastAsia="Calibri" w:hAnsi="Arial" w:cs="Arial"/>
        </w:rPr>
        <w:t xml:space="preserve">receive an amount outside of the GTA </w:t>
      </w:r>
      <w:r w:rsidRPr="007706F5">
        <w:rPr>
          <w:rFonts w:ascii="Arial" w:eastAsia="Calibri" w:hAnsi="Arial" w:cs="Arial"/>
        </w:rPr>
        <w:t xml:space="preserve">to facilitate travel for the primary purpose </w:t>
      </w:r>
      <w:r w:rsidR="00024FAA" w:rsidRPr="007706F5">
        <w:rPr>
          <w:rFonts w:ascii="Arial" w:eastAsia="Calibri" w:hAnsi="Arial" w:cs="Arial"/>
        </w:rPr>
        <w:t>performing portfolio related parliamentary business</w:t>
      </w:r>
      <w:r w:rsidRPr="007706F5">
        <w:rPr>
          <w:rFonts w:ascii="Arial" w:eastAsia="Calibri" w:hAnsi="Arial" w:cs="Arial"/>
        </w:rPr>
        <w:t>.</w:t>
      </w:r>
      <w:r w:rsidR="001A776C" w:rsidRPr="007706F5">
        <w:rPr>
          <w:rFonts w:ascii="Arial" w:eastAsia="Calibri" w:hAnsi="Arial" w:cs="Arial"/>
        </w:rPr>
        <w:t xml:space="preserve"> The Tribunal’s preference is that arrangements for Opposition Spokespersons be consistent with </w:t>
      </w:r>
      <w:r w:rsidR="00543A71" w:rsidRPr="007706F5">
        <w:rPr>
          <w:rFonts w:ascii="Arial" w:eastAsia="Calibri" w:hAnsi="Arial" w:cs="Arial"/>
        </w:rPr>
        <w:t xml:space="preserve">administrative </w:t>
      </w:r>
      <w:r w:rsidR="002E7CF1" w:rsidRPr="007706F5">
        <w:rPr>
          <w:rFonts w:ascii="Arial" w:eastAsia="Calibri" w:hAnsi="Arial" w:cs="Arial"/>
        </w:rPr>
        <w:t xml:space="preserve">and budget </w:t>
      </w:r>
      <w:r w:rsidR="001A776C" w:rsidRPr="007706F5">
        <w:rPr>
          <w:rFonts w:ascii="Arial" w:eastAsia="Calibri" w:hAnsi="Arial" w:cs="Arial"/>
        </w:rPr>
        <w:t xml:space="preserve">arrangements for Ministers and the Leaders of the Opposition. </w:t>
      </w:r>
      <w:r w:rsidR="001A776C" w:rsidRPr="00EB58B1">
        <w:rPr>
          <w:rFonts w:ascii="Arial" w:eastAsia="Calibri" w:hAnsi="Arial" w:cs="Arial"/>
        </w:rPr>
        <w:t>As such, t</w:t>
      </w:r>
      <w:r w:rsidRPr="00EB58B1">
        <w:rPr>
          <w:rFonts w:ascii="Arial" w:eastAsia="Calibri" w:hAnsi="Arial" w:cs="Arial"/>
        </w:rPr>
        <w:t>he Tribunal</w:t>
      </w:r>
      <w:r w:rsidR="005900F7" w:rsidRPr="00EB58B1">
        <w:rPr>
          <w:rFonts w:ascii="Arial" w:eastAsia="Calibri" w:hAnsi="Arial" w:cs="Arial"/>
        </w:rPr>
        <w:t xml:space="preserve"> has resolved</w:t>
      </w:r>
      <w:r w:rsidRPr="00EB58B1">
        <w:rPr>
          <w:rFonts w:ascii="Arial" w:eastAsia="Calibri" w:hAnsi="Arial" w:cs="Arial"/>
        </w:rPr>
        <w:t xml:space="preserve"> to </w:t>
      </w:r>
      <w:r w:rsidR="005900F7" w:rsidRPr="00EB58B1">
        <w:rPr>
          <w:rFonts w:ascii="Arial" w:eastAsia="Calibri" w:hAnsi="Arial" w:cs="Arial"/>
        </w:rPr>
        <w:t xml:space="preserve">write to </w:t>
      </w:r>
      <w:r w:rsidRPr="00EB58B1">
        <w:rPr>
          <w:rFonts w:ascii="Arial" w:eastAsia="Calibri" w:hAnsi="Arial" w:cs="Arial"/>
        </w:rPr>
        <w:t xml:space="preserve">the Premier </w:t>
      </w:r>
      <w:r w:rsidR="00024FAA" w:rsidRPr="00EB58B1">
        <w:rPr>
          <w:rFonts w:ascii="Arial" w:eastAsia="Calibri" w:hAnsi="Arial" w:cs="Arial"/>
        </w:rPr>
        <w:t>recommending</w:t>
      </w:r>
      <w:r w:rsidRPr="00EB58B1">
        <w:rPr>
          <w:rFonts w:ascii="Arial" w:eastAsia="Calibri" w:hAnsi="Arial" w:cs="Arial"/>
        </w:rPr>
        <w:t xml:space="preserve"> amendment to the Opposition Handbook to enable Opposition Spokespersons to claim travel expenses from the budget for the Office of the Leader of the Opposition and </w:t>
      </w:r>
      <w:r w:rsidR="007F63C7" w:rsidRPr="00EB58B1">
        <w:rPr>
          <w:rFonts w:ascii="Arial" w:eastAsia="Calibri" w:hAnsi="Arial" w:cs="Arial"/>
        </w:rPr>
        <w:t xml:space="preserve">an </w:t>
      </w:r>
      <w:r w:rsidRPr="00EB58B1">
        <w:rPr>
          <w:rFonts w:ascii="Arial" w:eastAsia="Calibri" w:hAnsi="Arial" w:cs="Arial"/>
        </w:rPr>
        <w:t xml:space="preserve">appropriate increase to the opposition budget to facilitate this </w:t>
      </w:r>
      <w:r w:rsidR="007F63C7" w:rsidRPr="00EB58B1">
        <w:rPr>
          <w:rFonts w:ascii="Arial" w:eastAsia="Calibri" w:hAnsi="Arial" w:cs="Arial"/>
        </w:rPr>
        <w:t>additional cost</w:t>
      </w:r>
      <w:r w:rsidRPr="00EB58B1">
        <w:rPr>
          <w:rFonts w:ascii="Arial" w:eastAsia="Calibri" w:hAnsi="Arial" w:cs="Arial"/>
        </w:rPr>
        <w:t xml:space="preserve">. </w:t>
      </w:r>
      <w:r w:rsidR="001A776C" w:rsidRPr="00EB58B1">
        <w:rPr>
          <w:rFonts w:ascii="Arial" w:eastAsia="Calibri" w:hAnsi="Arial" w:cs="Arial"/>
        </w:rPr>
        <w:t>The Tribunal will revisit the matter of travel for Opposition Spokespersons following a response from the Premier</w:t>
      </w:r>
      <w:r w:rsidR="00AA3C65" w:rsidRPr="00EB58B1">
        <w:rPr>
          <w:rFonts w:ascii="Arial" w:eastAsia="Calibri" w:hAnsi="Arial" w:cs="Arial"/>
        </w:rPr>
        <w:t>.</w:t>
      </w:r>
      <w:r w:rsidR="001A776C" w:rsidRPr="007706F5">
        <w:rPr>
          <w:rFonts w:ascii="Arial" w:eastAsia="Calibri" w:hAnsi="Arial" w:cs="Arial"/>
          <w:sz w:val="23"/>
          <w:szCs w:val="23"/>
        </w:rPr>
        <w:t xml:space="preserve"> </w:t>
      </w:r>
      <w:r w:rsidR="002A056D" w:rsidRPr="007706F5">
        <w:rPr>
          <w:rFonts w:ascii="Arial" w:eastAsia="Calibri" w:hAnsi="Arial" w:cs="Arial"/>
          <w:sz w:val="23"/>
          <w:szCs w:val="23"/>
        </w:rPr>
        <w:br w:type="page"/>
      </w:r>
    </w:p>
    <w:p w14:paraId="1B0804B9" w14:textId="77777777" w:rsidR="0074629E" w:rsidRPr="007706F5" w:rsidRDefault="0074629E">
      <w:pPr>
        <w:rPr>
          <w:rFonts w:ascii="Arial" w:eastAsia="Calibri" w:hAnsi="Arial" w:cs="Arial"/>
          <w:sz w:val="23"/>
          <w:szCs w:val="23"/>
        </w:rPr>
      </w:pPr>
    </w:p>
    <w:p w14:paraId="2AA156EC" w14:textId="77777777" w:rsidR="002A056D" w:rsidRPr="007706F5" w:rsidRDefault="002A056D">
      <w:pPr>
        <w:rPr>
          <w:rFonts w:ascii="Arial" w:eastAsia="Calibri" w:hAnsi="Arial" w:cs="Arial"/>
          <w:sz w:val="23"/>
          <w:szCs w:val="23"/>
        </w:rPr>
        <w:sectPr w:rsidR="002A056D" w:rsidRPr="007706F5" w:rsidSect="0094292A">
          <w:headerReference w:type="even" r:id="rId14"/>
          <w:headerReference w:type="default" r:id="rId15"/>
          <w:footerReference w:type="default" r:id="rId16"/>
          <w:headerReference w:type="first" r:id="rId17"/>
          <w:type w:val="continuous"/>
          <w:pgSz w:w="11906" w:h="16838"/>
          <w:pgMar w:top="1843" w:right="1134" w:bottom="851" w:left="1134" w:header="709" w:footer="0" w:gutter="0"/>
          <w:cols w:space="708"/>
          <w:docGrid w:linePitch="360"/>
        </w:sectPr>
      </w:pPr>
    </w:p>
    <w:p w14:paraId="4313FA69" w14:textId="37C11E64" w:rsidR="007F271C" w:rsidRPr="007706F5" w:rsidRDefault="007F271C" w:rsidP="007F271C">
      <w:pPr>
        <w:pStyle w:val="Title"/>
        <w:pBdr>
          <w:bottom w:val="single" w:sz="8" w:space="7" w:color="4F81BD"/>
        </w:pBdr>
        <w:rPr>
          <w:rFonts w:ascii="Arial" w:hAnsi="Arial" w:cs="Arial"/>
          <w:lang w:val="en-US"/>
        </w:rPr>
      </w:pPr>
      <w:r w:rsidRPr="007706F5">
        <w:rPr>
          <w:rFonts w:ascii="Arial" w:hAnsi="Arial" w:cs="Arial"/>
          <w:lang w:val="en-US"/>
        </w:rPr>
        <w:t xml:space="preserve">Determination </w:t>
      </w:r>
      <w:r w:rsidR="00024FAA" w:rsidRPr="007706F5">
        <w:rPr>
          <w:rFonts w:ascii="Arial" w:hAnsi="Arial" w:cs="Arial"/>
          <w:lang w:val="en-US"/>
        </w:rPr>
        <w:t>21</w:t>
      </w:r>
      <w:r w:rsidRPr="007706F5">
        <w:rPr>
          <w:rFonts w:ascii="Arial" w:hAnsi="Arial" w:cs="Arial"/>
          <w:lang w:val="en-US"/>
        </w:rPr>
        <w:t>/20</w:t>
      </w:r>
      <w:r w:rsidR="00024FAA" w:rsidRPr="007706F5">
        <w:rPr>
          <w:rFonts w:ascii="Arial" w:hAnsi="Arial" w:cs="Arial"/>
          <w:lang w:val="en-US"/>
        </w:rPr>
        <w:t>20</w:t>
      </w:r>
    </w:p>
    <w:p w14:paraId="707A777E" w14:textId="27ED1C90" w:rsidR="007F271C" w:rsidRPr="007706F5" w:rsidRDefault="007F271C" w:rsidP="007F271C">
      <w:pPr>
        <w:spacing w:after="160" w:line="259" w:lineRule="auto"/>
        <w:rPr>
          <w:rFonts w:ascii="Arial" w:eastAsia="Calibri" w:hAnsi="Arial" w:cs="Arial"/>
        </w:rPr>
      </w:pPr>
      <w:r w:rsidRPr="007706F5">
        <w:rPr>
          <w:rFonts w:ascii="Arial" w:eastAsia="Calibri" w:hAnsi="Arial" w:cs="Arial"/>
        </w:rPr>
        <w:t xml:space="preserve">Any inconsistencies between earlier Tribunal Determinations and Determination </w:t>
      </w:r>
      <w:r w:rsidR="00D775DF" w:rsidRPr="007706F5">
        <w:rPr>
          <w:rFonts w:ascii="Arial" w:eastAsia="Calibri" w:hAnsi="Arial" w:cs="Arial"/>
        </w:rPr>
        <w:t>21</w:t>
      </w:r>
      <w:r w:rsidRPr="007706F5">
        <w:rPr>
          <w:rFonts w:ascii="Arial" w:eastAsia="Calibri" w:hAnsi="Arial" w:cs="Arial"/>
        </w:rPr>
        <w:t>/20</w:t>
      </w:r>
      <w:r w:rsidR="00D775DF" w:rsidRPr="007706F5">
        <w:rPr>
          <w:rFonts w:ascii="Arial" w:eastAsia="Calibri" w:hAnsi="Arial" w:cs="Arial"/>
        </w:rPr>
        <w:t>20</w:t>
      </w:r>
      <w:r w:rsidRPr="007706F5">
        <w:rPr>
          <w:rFonts w:ascii="Arial" w:eastAsia="Calibri" w:hAnsi="Arial" w:cs="Arial"/>
        </w:rPr>
        <w:t xml:space="preserve"> are resolved in favour of </w:t>
      </w:r>
      <w:r w:rsidR="00D775DF" w:rsidRPr="007706F5">
        <w:rPr>
          <w:rFonts w:ascii="Arial" w:eastAsia="Calibri" w:hAnsi="Arial" w:cs="Arial"/>
        </w:rPr>
        <w:t>Determination 21/2020</w:t>
      </w:r>
      <w:r w:rsidRPr="007706F5">
        <w:rPr>
          <w:rFonts w:ascii="Arial" w:eastAsia="Calibri" w:hAnsi="Arial" w:cs="Arial"/>
        </w:rPr>
        <w:t xml:space="preserve">. Matters in earlier Determinations not addressed in this Determination are confirmed by the Tribunal and not amended. </w:t>
      </w:r>
    </w:p>
    <w:p w14:paraId="25470573" w14:textId="54E2EEA3" w:rsidR="007F271C" w:rsidRPr="007706F5" w:rsidRDefault="00D775DF" w:rsidP="005861E2">
      <w:pPr>
        <w:pStyle w:val="Subtitle"/>
        <w:spacing w:after="160" w:line="259" w:lineRule="auto"/>
        <w:rPr>
          <w:rFonts w:ascii="Arial" w:hAnsi="Arial" w:cs="Arial"/>
          <w:sz w:val="22"/>
          <w:szCs w:val="22"/>
        </w:rPr>
      </w:pPr>
      <w:r w:rsidRPr="007706F5">
        <w:rPr>
          <w:rFonts w:ascii="Arial" w:hAnsi="Arial" w:cs="Arial"/>
          <w:sz w:val="22"/>
          <w:szCs w:val="22"/>
        </w:rPr>
        <w:t>Salary</w:t>
      </w:r>
    </w:p>
    <w:p w14:paraId="20E9D149" w14:textId="774C4677" w:rsidR="00D775DF" w:rsidRPr="007706F5" w:rsidRDefault="005861E2" w:rsidP="00AC7BED">
      <w:pPr>
        <w:pStyle w:val="ListParagraph"/>
        <w:numPr>
          <w:ilvl w:val="0"/>
          <w:numId w:val="12"/>
        </w:numPr>
        <w:spacing w:after="160" w:line="259" w:lineRule="auto"/>
        <w:rPr>
          <w:rFonts w:ascii="Arial" w:eastAsia="Calibri" w:hAnsi="Arial" w:cs="Arial"/>
        </w:rPr>
      </w:pPr>
      <w:r w:rsidRPr="007706F5">
        <w:rPr>
          <w:rFonts w:ascii="Arial" w:eastAsia="Calibri" w:hAnsi="Arial" w:cs="Arial"/>
        </w:rPr>
        <w:t>The Tribunal determines</w:t>
      </w:r>
      <w:r w:rsidR="002A45A0" w:rsidRPr="007706F5">
        <w:rPr>
          <w:rFonts w:ascii="Arial" w:eastAsia="Calibri" w:hAnsi="Arial" w:cs="Arial"/>
        </w:rPr>
        <w:t xml:space="preserve"> </w:t>
      </w:r>
      <w:r w:rsidR="002A45A0" w:rsidRPr="00EB58B1">
        <w:rPr>
          <w:rFonts w:ascii="Arial" w:eastAsia="Calibri" w:hAnsi="Arial" w:cs="Arial"/>
        </w:rPr>
        <w:t>by majority</w:t>
      </w:r>
      <w:r w:rsidRPr="007706F5">
        <w:rPr>
          <w:rFonts w:ascii="Arial" w:eastAsia="Calibri" w:hAnsi="Arial" w:cs="Arial"/>
        </w:rPr>
        <w:t xml:space="preserve"> that</w:t>
      </w:r>
      <w:r w:rsidR="00335D86" w:rsidRPr="007706F5">
        <w:rPr>
          <w:rFonts w:ascii="Arial" w:eastAsia="Calibri" w:hAnsi="Arial" w:cs="Arial"/>
        </w:rPr>
        <w:t xml:space="preserve"> a 0% increase will apply to</w:t>
      </w:r>
      <w:r w:rsidRPr="007706F5">
        <w:rPr>
          <w:rFonts w:ascii="Arial" w:eastAsia="Calibri" w:hAnsi="Arial" w:cs="Arial"/>
        </w:rPr>
        <w:t xml:space="preserve"> the </w:t>
      </w:r>
      <w:r w:rsidR="00C45224" w:rsidRPr="007706F5">
        <w:rPr>
          <w:rFonts w:ascii="Arial" w:eastAsia="Calibri" w:hAnsi="Arial" w:cs="Arial"/>
        </w:rPr>
        <w:t xml:space="preserve">annual </w:t>
      </w:r>
      <w:r w:rsidRPr="007706F5">
        <w:rPr>
          <w:rFonts w:ascii="Arial" w:eastAsia="Calibri" w:hAnsi="Arial" w:cs="Arial"/>
        </w:rPr>
        <w:t xml:space="preserve">base and additional salary rates of Members of the Legislative Assembly </w:t>
      </w:r>
      <w:r w:rsidR="00335D86" w:rsidRPr="007706F5">
        <w:rPr>
          <w:rFonts w:ascii="Arial" w:eastAsia="Calibri" w:hAnsi="Arial" w:cs="Arial"/>
        </w:rPr>
        <w:t>on</w:t>
      </w:r>
      <w:r w:rsidR="00035FC9" w:rsidRPr="007706F5">
        <w:rPr>
          <w:rFonts w:ascii="Arial" w:eastAsia="Calibri" w:hAnsi="Arial" w:cs="Arial"/>
        </w:rPr>
        <w:t xml:space="preserve">: </w:t>
      </w:r>
    </w:p>
    <w:p w14:paraId="09F3779A" w14:textId="6099C3F3" w:rsidR="00035FC9" w:rsidRPr="007706F5" w:rsidRDefault="00FC562B" w:rsidP="00BE50EB">
      <w:pPr>
        <w:pStyle w:val="ListParagraph"/>
        <w:spacing w:after="160" w:line="259" w:lineRule="auto"/>
        <w:ind w:left="1440"/>
        <w:rPr>
          <w:rFonts w:ascii="Arial" w:eastAsia="Calibri" w:hAnsi="Arial" w:cs="Arial"/>
        </w:rPr>
      </w:pPr>
      <w:r w:rsidRPr="007706F5">
        <w:rPr>
          <w:rFonts w:ascii="Arial" w:eastAsia="Calibri" w:hAnsi="Arial" w:cs="Arial"/>
        </w:rPr>
        <w:t>1</w:t>
      </w:r>
      <w:r w:rsidR="00BE50EB" w:rsidRPr="007706F5">
        <w:rPr>
          <w:rFonts w:ascii="Arial" w:eastAsia="Calibri" w:hAnsi="Arial" w:cs="Arial"/>
        </w:rPr>
        <w:t xml:space="preserve"> </w:t>
      </w:r>
      <w:r w:rsidRPr="007706F5">
        <w:rPr>
          <w:rFonts w:ascii="Arial" w:eastAsia="Calibri" w:hAnsi="Arial" w:cs="Arial"/>
        </w:rPr>
        <w:t xml:space="preserve">September 2019 </w:t>
      </w:r>
    </w:p>
    <w:p w14:paraId="40267B3F" w14:textId="05FF2FCD" w:rsidR="00FC562B" w:rsidRPr="007706F5" w:rsidRDefault="00BE50EB" w:rsidP="00BE50EB">
      <w:pPr>
        <w:pStyle w:val="ListParagraph"/>
        <w:spacing w:after="160" w:line="259" w:lineRule="auto"/>
        <w:ind w:left="1440"/>
        <w:rPr>
          <w:rFonts w:ascii="Arial" w:eastAsia="Calibri" w:hAnsi="Arial" w:cs="Arial"/>
        </w:rPr>
      </w:pPr>
      <w:r w:rsidRPr="007706F5">
        <w:rPr>
          <w:rFonts w:ascii="Arial" w:eastAsia="Calibri" w:hAnsi="Arial" w:cs="Arial"/>
        </w:rPr>
        <w:t xml:space="preserve">1 </w:t>
      </w:r>
      <w:r w:rsidR="00FC562B" w:rsidRPr="007706F5">
        <w:rPr>
          <w:rFonts w:ascii="Arial" w:eastAsia="Calibri" w:hAnsi="Arial" w:cs="Arial"/>
        </w:rPr>
        <w:t xml:space="preserve">September 2020 </w:t>
      </w:r>
    </w:p>
    <w:p w14:paraId="2E86A9F2" w14:textId="646F6D99" w:rsidR="00BE50EB" w:rsidRPr="007706F5" w:rsidRDefault="00BE50EB" w:rsidP="00BE50EB">
      <w:pPr>
        <w:pStyle w:val="ListParagraph"/>
        <w:spacing w:after="160" w:line="259" w:lineRule="auto"/>
        <w:ind w:left="1440"/>
        <w:rPr>
          <w:rFonts w:ascii="Arial" w:eastAsia="Calibri" w:hAnsi="Arial" w:cs="Arial"/>
        </w:rPr>
      </w:pPr>
      <w:r w:rsidRPr="007706F5">
        <w:rPr>
          <w:rFonts w:ascii="Arial" w:eastAsia="Calibri" w:hAnsi="Arial" w:cs="Arial"/>
        </w:rPr>
        <w:t xml:space="preserve">1 </w:t>
      </w:r>
      <w:r w:rsidR="00FC562B" w:rsidRPr="007706F5">
        <w:rPr>
          <w:rFonts w:ascii="Arial" w:eastAsia="Calibri" w:hAnsi="Arial" w:cs="Arial"/>
        </w:rPr>
        <w:t>September 2021</w:t>
      </w:r>
    </w:p>
    <w:p w14:paraId="4A966DF7" w14:textId="17722741" w:rsidR="00FC562B" w:rsidRPr="007706F5" w:rsidRDefault="00BE50EB" w:rsidP="00BE50EB">
      <w:pPr>
        <w:pStyle w:val="ListParagraph"/>
        <w:spacing w:after="160" w:line="259" w:lineRule="auto"/>
        <w:ind w:left="1440"/>
        <w:rPr>
          <w:rFonts w:ascii="Arial" w:eastAsia="Calibri" w:hAnsi="Arial" w:cs="Arial"/>
        </w:rPr>
      </w:pPr>
      <w:r w:rsidRPr="007706F5">
        <w:rPr>
          <w:rFonts w:ascii="Arial" w:eastAsia="Calibri" w:hAnsi="Arial" w:cs="Arial"/>
        </w:rPr>
        <w:t>1 S</w:t>
      </w:r>
      <w:r w:rsidR="00FC562B" w:rsidRPr="007706F5">
        <w:rPr>
          <w:rFonts w:ascii="Arial" w:eastAsia="Calibri" w:hAnsi="Arial" w:cs="Arial"/>
        </w:rPr>
        <w:t>eptember 2022</w:t>
      </w:r>
      <w:r w:rsidR="00E73EF4" w:rsidRPr="007706F5">
        <w:rPr>
          <w:rFonts w:ascii="Arial" w:eastAsia="Calibri" w:hAnsi="Arial" w:cs="Arial"/>
        </w:rPr>
        <w:t>.</w:t>
      </w:r>
    </w:p>
    <w:p w14:paraId="67CFE755" w14:textId="48B18A59" w:rsidR="00D54F6F" w:rsidRPr="007706F5" w:rsidRDefault="00D54F6F" w:rsidP="00D54F6F">
      <w:pPr>
        <w:pStyle w:val="Subtitle"/>
        <w:spacing w:after="160" w:line="259" w:lineRule="auto"/>
        <w:rPr>
          <w:rFonts w:ascii="Arial" w:hAnsi="Arial" w:cs="Arial"/>
          <w:sz w:val="22"/>
          <w:szCs w:val="22"/>
        </w:rPr>
      </w:pPr>
      <w:r w:rsidRPr="007706F5">
        <w:rPr>
          <w:rFonts w:ascii="Arial" w:hAnsi="Arial" w:cs="Arial"/>
          <w:sz w:val="22"/>
          <w:szCs w:val="22"/>
        </w:rPr>
        <w:t>Electorate and Communication Allowance</w:t>
      </w:r>
    </w:p>
    <w:p w14:paraId="13ADB6AF" w14:textId="7D6D64C0" w:rsidR="00BE50EB" w:rsidRPr="00EB58B1" w:rsidRDefault="007F271C" w:rsidP="00AC7BED">
      <w:pPr>
        <w:pStyle w:val="ListParagraph"/>
        <w:numPr>
          <w:ilvl w:val="0"/>
          <w:numId w:val="12"/>
        </w:numPr>
        <w:spacing w:after="160" w:line="259" w:lineRule="auto"/>
        <w:rPr>
          <w:rFonts w:ascii="Arial" w:hAnsi="Arial" w:cs="Arial"/>
        </w:rPr>
      </w:pPr>
      <w:r w:rsidRPr="00EB58B1">
        <w:rPr>
          <w:rFonts w:ascii="Arial" w:eastAsia="Calibri" w:hAnsi="Arial" w:cs="Arial"/>
        </w:rPr>
        <w:t>The</w:t>
      </w:r>
      <w:r w:rsidRPr="00EB58B1">
        <w:rPr>
          <w:rFonts w:ascii="Arial" w:hAnsi="Arial" w:cs="Arial"/>
        </w:rPr>
        <w:t xml:space="preserve"> Tribunal</w:t>
      </w:r>
      <w:r w:rsidR="0032111E" w:rsidRPr="00EB58B1">
        <w:rPr>
          <w:rFonts w:ascii="Arial" w:hAnsi="Arial" w:cs="Arial"/>
        </w:rPr>
        <w:t xml:space="preserve"> determines that</w:t>
      </w:r>
      <w:r w:rsidR="00FB67D5" w:rsidRPr="00EB58B1">
        <w:rPr>
          <w:rFonts w:ascii="Arial" w:hAnsi="Arial" w:cs="Arial"/>
        </w:rPr>
        <w:t xml:space="preserve"> the</w:t>
      </w:r>
      <w:r w:rsidR="00FE2B73" w:rsidRPr="00EB58B1">
        <w:rPr>
          <w:rFonts w:ascii="Arial" w:hAnsi="Arial" w:cs="Arial"/>
        </w:rPr>
        <w:t xml:space="preserve"> Electorate and Communication Allowance bands</w:t>
      </w:r>
      <w:r w:rsidR="00A967FB" w:rsidRPr="00EB58B1">
        <w:rPr>
          <w:rFonts w:ascii="Arial" w:hAnsi="Arial" w:cs="Arial"/>
        </w:rPr>
        <w:t xml:space="preserve">, </w:t>
      </w:r>
      <w:r w:rsidR="00FB67D5" w:rsidRPr="00EB58B1">
        <w:rPr>
          <w:rFonts w:ascii="Arial" w:hAnsi="Arial" w:cs="Arial"/>
        </w:rPr>
        <w:t xml:space="preserve">band </w:t>
      </w:r>
      <w:r w:rsidR="00A967FB" w:rsidRPr="00EB58B1">
        <w:rPr>
          <w:rFonts w:ascii="Arial" w:hAnsi="Arial" w:cs="Arial"/>
        </w:rPr>
        <w:t>amounts and allocation of electorates in each band</w:t>
      </w:r>
      <w:r w:rsidR="00FE2B73" w:rsidRPr="00EB58B1">
        <w:rPr>
          <w:rFonts w:ascii="Arial" w:hAnsi="Arial" w:cs="Arial"/>
        </w:rPr>
        <w:t xml:space="preserve"> will be set </w:t>
      </w:r>
      <w:r w:rsidR="00A967FB" w:rsidRPr="00EB58B1">
        <w:rPr>
          <w:rFonts w:ascii="Arial" w:hAnsi="Arial" w:cs="Arial"/>
        </w:rPr>
        <w:t xml:space="preserve">as follows </w:t>
      </w:r>
      <w:r w:rsidR="0032111E" w:rsidRPr="00EB58B1">
        <w:rPr>
          <w:rFonts w:ascii="Arial" w:hAnsi="Arial" w:cs="Arial"/>
        </w:rPr>
        <w:t>from 1</w:t>
      </w:r>
      <w:r w:rsidR="00FB67D5" w:rsidRPr="00EB58B1">
        <w:rPr>
          <w:rFonts w:ascii="Arial" w:hAnsi="Arial" w:cs="Arial"/>
        </w:rPr>
        <w:t> </w:t>
      </w:r>
      <w:r w:rsidR="00FE5A8F" w:rsidRPr="00EB58B1">
        <w:rPr>
          <w:rFonts w:ascii="Arial" w:hAnsi="Arial" w:cs="Arial"/>
        </w:rPr>
        <w:t>November</w:t>
      </w:r>
      <w:r w:rsidR="00FB67D5" w:rsidRPr="00EB58B1">
        <w:rPr>
          <w:rFonts w:ascii="Arial" w:hAnsi="Arial" w:cs="Arial"/>
        </w:rPr>
        <w:t> </w:t>
      </w:r>
      <w:r w:rsidR="00C45224" w:rsidRPr="00EB58B1">
        <w:rPr>
          <w:rFonts w:ascii="Arial" w:hAnsi="Arial" w:cs="Arial"/>
        </w:rPr>
        <w:t>2</w:t>
      </w:r>
      <w:r w:rsidR="0032111E" w:rsidRPr="00EB58B1">
        <w:rPr>
          <w:rFonts w:ascii="Arial" w:hAnsi="Arial" w:cs="Arial"/>
        </w:rPr>
        <w:t>020</w:t>
      </w:r>
      <w:r w:rsidR="007838C6" w:rsidRPr="00EB58B1">
        <w:rPr>
          <w:rFonts w:ascii="Arial" w:hAnsi="Arial" w:cs="Arial"/>
        </w:rPr>
        <w:t xml:space="preserve">: </w:t>
      </w:r>
    </w:p>
    <w:tbl>
      <w:tblPr>
        <w:tblStyle w:val="TableGrid"/>
        <w:tblW w:w="8789" w:type="dxa"/>
        <w:tblInd w:w="704" w:type="dxa"/>
        <w:tblLook w:val="04A0" w:firstRow="1" w:lastRow="0" w:firstColumn="1" w:lastColumn="0" w:noHBand="0" w:noVBand="1"/>
      </w:tblPr>
      <w:tblGrid>
        <w:gridCol w:w="817"/>
        <w:gridCol w:w="1094"/>
        <w:gridCol w:w="6878"/>
      </w:tblGrid>
      <w:tr w:rsidR="003E257E" w:rsidRPr="007706F5" w14:paraId="6DF35644" w14:textId="77777777" w:rsidTr="00E62F52">
        <w:trPr>
          <w:cantSplit/>
          <w:trHeight w:val="255"/>
        </w:trPr>
        <w:tc>
          <w:tcPr>
            <w:tcW w:w="817" w:type="dxa"/>
            <w:shd w:val="clear" w:color="auto" w:fill="8EAADB" w:themeFill="accent1" w:themeFillTint="99"/>
            <w:noWrap/>
            <w:vAlign w:val="center"/>
            <w:hideMark/>
          </w:tcPr>
          <w:p w14:paraId="0EB39E08" w14:textId="763008BD" w:rsidR="003E257E" w:rsidRPr="00EB58B1" w:rsidRDefault="00CB794E" w:rsidP="001A48CE">
            <w:pPr>
              <w:keepNext/>
              <w:keepLines/>
              <w:rPr>
                <w:rFonts w:ascii="Arial" w:eastAsia="Times New Roman" w:hAnsi="Arial" w:cs="Arial"/>
                <w:b/>
                <w:bCs/>
                <w:color w:val="000000"/>
                <w:sz w:val="18"/>
                <w:szCs w:val="18"/>
              </w:rPr>
            </w:pPr>
            <w:r>
              <w:rPr>
                <w:rFonts w:ascii="Arial" w:eastAsia="Times New Roman" w:hAnsi="Arial" w:cs="Arial"/>
                <w:b/>
                <w:bCs/>
                <w:color w:val="000000"/>
                <w:sz w:val="18"/>
                <w:szCs w:val="18"/>
              </w:rPr>
              <w:t>B</w:t>
            </w:r>
            <w:r w:rsidR="00945CAE" w:rsidRPr="00EB58B1">
              <w:rPr>
                <w:rFonts w:ascii="Arial" w:eastAsia="Times New Roman" w:hAnsi="Arial" w:cs="Arial"/>
                <w:b/>
                <w:bCs/>
                <w:color w:val="000000"/>
                <w:sz w:val="18"/>
                <w:szCs w:val="18"/>
              </w:rPr>
              <w:t>and</w:t>
            </w:r>
            <w:r w:rsidR="003E257E" w:rsidRPr="00EB58B1">
              <w:rPr>
                <w:rFonts w:ascii="Arial" w:eastAsia="Times New Roman" w:hAnsi="Arial" w:cs="Arial"/>
                <w:b/>
                <w:bCs/>
                <w:color w:val="000000"/>
                <w:sz w:val="18"/>
                <w:szCs w:val="18"/>
              </w:rPr>
              <w:t xml:space="preserve"> </w:t>
            </w:r>
          </w:p>
        </w:tc>
        <w:tc>
          <w:tcPr>
            <w:tcW w:w="1094" w:type="dxa"/>
            <w:shd w:val="clear" w:color="auto" w:fill="8EAADB" w:themeFill="accent1" w:themeFillTint="99"/>
            <w:vAlign w:val="center"/>
          </w:tcPr>
          <w:p w14:paraId="1BC25813" w14:textId="06215121" w:rsidR="003E257E" w:rsidRPr="00EB58B1" w:rsidRDefault="00D54F6F" w:rsidP="001A48CE">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Amount</w:t>
            </w:r>
          </w:p>
        </w:tc>
        <w:tc>
          <w:tcPr>
            <w:tcW w:w="6878" w:type="dxa"/>
            <w:shd w:val="clear" w:color="auto" w:fill="8EAADB" w:themeFill="accent1" w:themeFillTint="99"/>
            <w:vAlign w:val="center"/>
          </w:tcPr>
          <w:p w14:paraId="3BEC2925" w14:textId="6AECC4AE" w:rsidR="003E257E" w:rsidRPr="00EB58B1" w:rsidRDefault="003E257E" w:rsidP="001A48CE">
            <w:pPr>
              <w:keepNext/>
              <w:keepLines/>
              <w:rPr>
                <w:rFonts w:ascii="Arial" w:eastAsia="Times New Roman" w:hAnsi="Arial" w:cs="Arial"/>
                <w:b/>
                <w:bCs/>
                <w:color w:val="000000"/>
                <w:sz w:val="18"/>
                <w:szCs w:val="18"/>
              </w:rPr>
            </w:pPr>
            <w:r w:rsidRPr="00EB58B1">
              <w:rPr>
                <w:rFonts w:ascii="Arial" w:eastAsia="Times New Roman" w:hAnsi="Arial" w:cs="Arial"/>
                <w:b/>
                <w:bCs/>
                <w:color w:val="000000"/>
                <w:sz w:val="18"/>
                <w:szCs w:val="18"/>
              </w:rPr>
              <w:t xml:space="preserve">Electorates in </w:t>
            </w:r>
            <w:r w:rsidR="00CB794E">
              <w:rPr>
                <w:rFonts w:ascii="Arial" w:eastAsia="Times New Roman" w:hAnsi="Arial" w:cs="Arial"/>
                <w:b/>
                <w:bCs/>
                <w:color w:val="000000"/>
                <w:sz w:val="18"/>
                <w:szCs w:val="18"/>
              </w:rPr>
              <w:t>e</w:t>
            </w:r>
            <w:r w:rsidRPr="00EB58B1">
              <w:rPr>
                <w:rFonts w:ascii="Arial" w:eastAsia="Times New Roman" w:hAnsi="Arial" w:cs="Arial"/>
                <w:b/>
                <w:bCs/>
                <w:color w:val="000000"/>
                <w:sz w:val="18"/>
                <w:szCs w:val="18"/>
              </w:rPr>
              <w:t xml:space="preserve">ach </w:t>
            </w:r>
            <w:r w:rsidR="00CB794E">
              <w:rPr>
                <w:rFonts w:ascii="Arial" w:eastAsia="Times New Roman" w:hAnsi="Arial" w:cs="Arial"/>
                <w:b/>
                <w:bCs/>
                <w:color w:val="000000"/>
                <w:sz w:val="18"/>
                <w:szCs w:val="18"/>
              </w:rPr>
              <w:t>B</w:t>
            </w:r>
            <w:r w:rsidRPr="00EB58B1">
              <w:rPr>
                <w:rFonts w:ascii="Arial" w:eastAsia="Times New Roman" w:hAnsi="Arial" w:cs="Arial"/>
                <w:b/>
                <w:bCs/>
                <w:color w:val="000000"/>
                <w:sz w:val="18"/>
                <w:szCs w:val="18"/>
              </w:rPr>
              <w:t xml:space="preserve">and </w:t>
            </w:r>
          </w:p>
        </w:tc>
      </w:tr>
      <w:tr w:rsidR="00FE5A8F" w:rsidRPr="007706F5" w14:paraId="069190BB" w14:textId="77777777" w:rsidTr="00E62F52">
        <w:trPr>
          <w:cantSplit/>
          <w:trHeight w:val="376"/>
        </w:trPr>
        <w:tc>
          <w:tcPr>
            <w:tcW w:w="817" w:type="dxa"/>
            <w:shd w:val="clear" w:color="auto" w:fill="8EAADB" w:themeFill="accent1" w:themeFillTint="99"/>
            <w:noWrap/>
            <w:vAlign w:val="center"/>
            <w:hideMark/>
          </w:tcPr>
          <w:p w14:paraId="2B416923" w14:textId="36B4FCFE" w:rsidR="00FE5A8F" w:rsidRPr="00EB58B1" w:rsidRDefault="00A967FB"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1</w:t>
            </w:r>
          </w:p>
        </w:tc>
        <w:tc>
          <w:tcPr>
            <w:tcW w:w="1094" w:type="dxa"/>
            <w:vAlign w:val="center"/>
          </w:tcPr>
          <w:p w14:paraId="076B3611" w14:textId="5B908B04" w:rsidR="00FE5A8F" w:rsidRPr="00EB58B1" w:rsidRDefault="00FE5A8F"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w:t>
            </w:r>
            <w:r w:rsidR="00FE2B73" w:rsidRPr="00EB58B1">
              <w:rPr>
                <w:rFonts w:ascii="Arial" w:eastAsia="Times New Roman" w:hAnsi="Arial" w:cs="Arial"/>
                <w:color w:val="000000"/>
                <w:sz w:val="20"/>
                <w:szCs w:val="20"/>
              </w:rPr>
              <w:t>89</w:t>
            </w:r>
            <w:r w:rsidRPr="00EB58B1">
              <w:rPr>
                <w:rFonts w:ascii="Arial" w:eastAsia="Times New Roman" w:hAnsi="Arial" w:cs="Arial"/>
                <w:color w:val="000000"/>
                <w:sz w:val="20"/>
                <w:szCs w:val="20"/>
              </w:rPr>
              <w:t>,200</w:t>
            </w:r>
          </w:p>
        </w:tc>
        <w:tc>
          <w:tcPr>
            <w:tcW w:w="6878" w:type="dxa"/>
            <w:vAlign w:val="center"/>
          </w:tcPr>
          <w:p w14:paraId="5D970B18" w14:textId="30128A64" w:rsidR="00FE5A8F" w:rsidRPr="00EB58B1" w:rsidRDefault="00343C51" w:rsidP="00FE5A8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Algester, Bonney, Broadwater, Gaven, Gladstone, Glass House, Hinchinbrook</w:t>
            </w:r>
            <w:r w:rsidR="00A84294" w:rsidRPr="00EB58B1">
              <w:rPr>
                <w:rFonts w:ascii="Arial" w:eastAsia="Times New Roman" w:hAnsi="Arial" w:cs="Arial"/>
                <w:color w:val="000000"/>
                <w:sz w:val="20"/>
                <w:szCs w:val="20"/>
              </w:rPr>
              <w:t>, Ipswich, Lockyer, Mansfield, Mirani, Moggill, Mundingburra, Nicklin, Oodgeroo</w:t>
            </w:r>
            <w:r w:rsidR="000F6BAB" w:rsidRPr="00EB58B1">
              <w:rPr>
                <w:rFonts w:ascii="Arial" w:eastAsia="Times New Roman" w:hAnsi="Arial" w:cs="Arial"/>
                <w:color w:val="000000"/>
                <w:sz w:val="20"/>
                <w:szCs w:val="20"/>
              </w:rPr>
              <w:t>, Southport, Stretton, Surfers Paradise, Toohey, Townsville, Waterford, Whitsunday</w:t>
            </w:r>
          </w:p>
        </w:tc>
      </w:tr>
      <w:tr w:rsidR="00FE5A8F" w:rsidRPr="007706F5" w14:paraId="714E8F76" w14:textId="77777777" w:rsidTr="00E62F52">
        <w:trPr>
          <w:cantSplit/>
          <w:trHeight w:val="165"/>
        </w:trPr>
        <w:tc>
          <w:tcPr>
            <w:tcW w:w="817" w:type="dxa"/>
            <w:shd w:val="clear" w:color="auto" w:fill="8EAADB" w:themeFill="accent1" w:themeFillTint="99"/>
            <w:noWrap/>
            <w:vAlign w:val="center"/>
            <w:hideMark/>
          </w:tcPr>
          <w:p w14:paraId="196A16D3" w14:textId="21D3C3D0" w:rsidR="00FE5A8F" w:rsidRPr="00EB58B1" w:rsidRDefault="00A967FB"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2</w:t>
            </w:r>
          </w:p>
        </w:tc>
        <w:tc>
          <w:tcPr>
            <w:tcW w:w="1094" w:type="dxa"/>
            <w:vAlign w:val="center"/>
          </w:tcPr>
          <w:p w14:paraId="15FA5BAC" w14:textId="6C945253" w:rsidR="00FE5A8F" w:rsidRPr="00EB58B1" w:rsidRDefault="00FE5A8F"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w:t>
            </w:r>
            <w:r w:rsidR="00FE2B73" w:rsidRPr="00EB58B1">
              <w:rPr>
                <w:rFonts w:ascii="Arial" w:eastAsia="Times New Roman" w:hAnsi="Arial" w:cs="Arial"/>
                <w:color w:val="000000"/>
                <w:sz w:val="20"/>
                <w:szCs w:val="20"/>
              </w:rPr>
              <w:t>90</w:t>
            </w:r>
            <w:r w:rsidRPr="00EB58B1">
              <w:rPr>
                <w:rFonts w:ascii="Arial" w:eastAsia="Times New Roman" w:hAnsi="Arial" w:cs="Arial"/>
                <w:color w:val="000000"/>
                <w:sz w:val="20"/>
                <w:szCs w:val="20"/>
              </w:rPr>
              <w:t>,900</w:t>
            </w:r>
          </w:p>
        </w:tc>
        <w:tc>
          <w:tcPr>
            <w:tcW w:w="6878" w:type="dxa"/>
          </w:tcPr>
          <w:p w14:paraId="65C5D378" w14:textId="45AF14E6" w:rsidR="00FE5A8F" w:rsidRPr="00EB58B1" w:rsidRDefault="00343C51" w:rsidP="00FE5A8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Bancroft, Buderim, Bundaberg, Burleigh, Burnett, Cairns, Capalaba, Chatsworth, Currumbin, Ferny Grove</w:t>
            </w:r>
            <w:r w:rsidR="00A84294" w:rsidRPr="00EB58B1">
              <w:rPr>
                <w:rFonts w:ascii="Arial" w:eastAsia="Times New Roman" w:hAnsi="Arial" w:cs="Arial"/>
                <w:color w:val="000000"/>
                <w:sz w:val="20"/>
                <w:szCs w:val="20"/>
              </w:rPr>
              <w:t xml:space="preserve">, Inala, Ipswich West, </w:t>
            </w:r>
            <w:proofErr w:type="spellStart"/>
            <w:r w:rsidR="00A84294" w:rsidRPr="00EB58B1">
              <w:rPr>
                <w:rFonts w:ascii="Arial" w:eastAsia="Times New Roman" w:hAnsi="Arial" w:cs="Arial"/>
                <w:color w:val="000000"/>
                <w:sz w:val="20"/>
                <w:szCs w:val="20"/>
              </w:rPr>
              <w:t>Kawana</w:t>
            </w:r>
            <w:proofErr w:type="spellEnd"/>
            <w:r w:rsidR="00A84294" w:rsidRPr="00EB58B1">
              <w:rPr>
                <w:rFonts w:ascii="Arial" w:eastAsia="Times New Roman" w:hAnsi="Arial" w:cs="Arial"/>
                <w:color w:val="000000"/>
                <w:sz w:val="20"/>
                <w:szCs w:val="20"/>
              </w:rPr>
              <w:t>, Keppel, Kurwongbah, Macalister, Maroochydore, Mermaid Beach, Miller, Morayfield, Mount Ommaney, Mulgrave, Noosa, Rockhampton</w:t>
            </w:r>
            <w:r w:rsidR="000F6BAB" w:rsidRPr="00EB58B1">
              <w:rPr>
                <w:rFonts w:ascii="Arial" w:eastAsia="Times New Roman" w:hAnsi="Arial" w:cs="Arial"/>
                <w:color w:val="000000"/>
                <w:sz w:val="20"/>
                <w:szCs w:val="20"/>
              </w:rPr>
              <w:t>, Springwood, Theodore, Thuringowa, Woodridge</w:t>
            </w:r>
          </w:p>
        </w:tc>
      </w:tr>
      <w:tr w:rsidR="00FE5A8F" w:rsidRPr="007706F5" w14:paraId="3D255699" w14:textId="77777777" w:rsidTr="00E62F52">
        <w:trPr>
          <w:cantSplit/>
          <w:trHeight w:val="165"/>
        </w:trPr>
        <w:tc>
          <w:tcPr>
            <w:tcW w:w="817" w:type="dxa"/>
            <w:shd w:val="clear" w:color="auto" w:fill="8EAADB" w:themeFill="accent1" w:themeFillTint="99"/>
            <w:noWrap/>
            <w:vAlign w:val="center"/>
            <w:hideMark/>
          </w:tcPr>
          <w:p w14:paraId="6DE29F25" w14:textId="6241D90F" w:rsidR="00FE5A8F" w:rsidRPr="00EB58B1" w:rsidRDefault="00A967FB"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3</w:t>
            </w:r>
          </w:p>
        </w:tc>
        <w:tc>
          <w:tcPr>
            <w:tcW w:w="1094" w:type="dxa"/>
            <w:vAlign w:val="center"/>
          </w:tcPr>
          <w:p w14:paraId="2A004342" w14:textId="76AC3208" w:rsidR="00FE5A8F" w:rsidRPr="00EB58B1" w:rsidRDefault="00FE5A8F"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w:t>
            </w:r>
            <w:r w:rsidR="00FE2B73" w:rsidRPr="00EB58B1">
              <w:rPr>
                <w:rFonts w:ascii="Arial" w:eastAsia="Times New Roman" w:hAnsi="Arial" w:cs="Arial"/>
                <w:color w:val="000000"/>
                <w:sz w:val="20"/>
                <w:szCs w:val="20"/>
              </w:rPr>
              <w:t>93</w:t>
            </w:r>
            <w:r w:rsidRPr="00EB58B1">
              <w:rPr>
                <w:rFonts w:ascii="Arial" w:eastAsia="Times New Roman" w:hAnsi="Arial" w:cs="Arial"/>
                <w:color w:val="000000"/>
                <w:sz w:val="20"/>
                <w:szCs w:val="20"/>
              </w:rPr>
              <w:t>,400</w:t>
            </w:r>
          </w:p>
        </w:tc>
        <w:tc>
          <w:tcPr>
            <w:tcW w:w="6878" w:type="dxa"/>
          </w:tcPr>
          <w:p w14:paraId="6C9577E4" w14:textId="75A667EC" w:rsidR="00FE5A8F" w:rsidRPr="00EB58B1" w:rsidRDefault="00343C51" w:rsidP="00FE5A8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Aspley, Barron River, Bundamba, Burdekin, Callide, Caloundra, Condamine, Cooper, Everton, Greenslopes, Hill</w:t>
            </w:r>
            <w:r w:rsidR="00A84294" w:rsidRPr="00EB58B1">
              <w:rPr>
                <w:rFonts w:ascii="Arial" w:eastAsia="Times New Roman" w:hAnsi="Arial" w:cs="Arial"/>
                <w:color w:val="000000"/>
                <w:sz w:val="20"/>
                <w:szCs w:val="20"/>
              </w:rPr>
              <w:t xml:space="preserve">, Jordan, Logan, Lytton, Mackay, </w:t>
            </w:r>
            <w:proofErr w:type="spellStart"/>
            <w:r w:rsidR="00A84294" w:rsidRPr="00EB58B1">
              <w:rPr>
                <w:rFonts w:ascii="Arial" w:eastAsia="Times New Roman" w:hAnsi="Arial" w:cs="Arial"/>
                <w:color w:val="000000"/>
                <w:sz w:val="20"/>
                <w:szCs w:val="20"/>
              </w:rPr>
              <w:t>Maiwar</w:t>
            </w:r>
            <w:proofErr w:type="spellEnd"/>
            <w:r w:rsidR="00A84294" w:rsidRPr="00EB58B1">
              <w:rPr>
                <w:rFonts w:ascii="Arial" w:eastAsia="Times New Roman" w:hAnsi="Arial" w:cs="Arial"/>
                <w:color w:val="000000"/>
                <w:sz w:val="20"/>
                <w:szCs w:val="20"/>
              </w:rPr>
              <w:t xml:space="preserve">, Maryborough, Mudgeeraba, Nanango, </w:t>
            </w:r>
            <w:proofErr w:type="spellStart"/>
            <w:r w:rsidR="00A84294" w:rsidRPr="00EB58B1">
              <w:rPr>
                <w:rFonts w:ascii="Arial" w:eastAsia="Times New Roman" w:hAnsi="Arial" w:cs="Arial"/>
                <w:color w:val="000000"/>
                <w:sz w:val="20"/>
                <w:szCs w:val="20"/>
              </w:rPr>
              <w:t>Ninderry</w:t>
            </w:r>
            <w:proofErr w:type="spellEnd"/>
            <w:r w:rsidR="00A84294" w:rsidRPr="00EB58B1">
              <w:rPr>
                <w:rFonts w:ascii="Arial" w:eastAsia="Times New Roman" w:hAnsi="Arial" w:cs="Arial"/>
                <w:color w:val="000000"/>
                <w:sz w:val="20"/>
                <w:szCs w:val="20"/>
              </w:rPr>
              <w:t xml:space="preserve">, Nudgee, Pine Rivers, </w:t>
            </w:r>
            <w:proofErr w:type="spellStart"/>
            <w:r w:rsidR="00A84294" w:rsidRPr="00EB58B1">
              <w:rPr>
                <w:rFonts w:ascii="Arial" w:eastAsia="Times New Roman" w:hAnsi="Arial" w:cs="Arial"/>
                <w:color w:val="000000"/>
                <w:sz w:val="20"/>
                <w:szCs w:val="20"/>
              </w:rPr>
              <w:t>Pumicestone</w:t>
            </w:r>
            <w:proofErr w:type="spellEnd"/>
            <w:r w:rsidR="00A84294" w:rsidRPr="00EB58B1">
              <w:rPr>
                <w:rFonts w:ascii="Arial" w:eastAsia="Times New Roman" w:hAnsi="Arial" w:cs="Arial"/>
                <w:color w:val="000000"/>
                <w:sz w:val="20"/>
                <w:szCs w:val="20"/>
              </w:rPr>
              <w:t>, Redcliffe, Redlands, Sandgate, Scenic Rim</w:t>
            </w:r>
            <w:r w:rsidR="000F6BAB" w:rsidRPr="00EB58B1">
              <w:rPr>
                <w:rFonts w:ascii="Arial" w:eastAsia="Times New Roman" w:hAnsi="Arial" w:cs="Arial"/>
                <w:color w:val="000000"/>
                <w:sz w:val="20"/>
                <w:szCs w:val="20"/>
              </w:rPr>
              <w:t>, South Brisbane, Southern Downs, Toowoomba North, Toowoomba South</w:t>
            </w:r>
          </w:p>
        </w:tc>
      </w:tr>
      <w:tr w:rsidR="00FE5A8F" w:rsidRPr="007706F5" w14:paraId="15856BE1" w14:textId="77777777" w:rsidTr="00E62F52">
        <w:trPr>
          <w:cantSplit/>
          <w:trHeight w:val="165"/>
        </w:trPr>
        <w:tc>
          <w:tcPr>
            <w:tcW w:w="817" w:type="dxa"/>
            <w:shd w:val="clear" w:color="auto" w:fill="8EAADB" w:themeFill="accent1" w:themeFillTint="99"/>
            <w:noWrap/>
            <w:vAlign w:val="center"/>
            <w:hideMark/>
          </w:tcPr>
          <w:p w14:paraId="5C77ED4B" w14:textId="5A237CAC" w:rsidR="00FE5A8F" w:rsidRPr="00EB58B1" w:rsidRDefault="00A967FB"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4</w:t>
            </w:r>
          </w:p>
        </w:tc>
        <w:tc>
          <w:tcPr>
            <w:tcW w:w="1094" w:type="dxa"/>
            <w:vAlign w:val="center"/>
          </w:tcPr>
          <w:p w14:paraId="7FD73B8C" w14:textId="621226A3" w:rsidR="00FE5A8F" w:rsidRPr="00EB58B1" w:rsidRDefault="00FE5A8F" w:rsidP="00FE5A8F">
            <w:pPr>
              <w:keepNext/>
              <w:keepLines/>
              <w:jc w:val="center"/>
              <w:rPr>
                <w:rFonts w:ascii="Arial" w:eastAsia="Times New Roman" w:hAnsi="Arial" w:cs="Arial"/>
                <w:color w:val="000000"/>
                <w:sz w:val="20"/>
                <w:szCs w:val="20"/>
              </w:rPr>
            </w:pPr>
            <w:r w:rsidRPr="00EB58B1">
              <w:rPr>
                <w:rFonts w:ascii="Arial" w:eastAsia="Times New Roman" w:hAnsi="Arial" w:cs="Arial"/>
                <w:color w:val="000000"/>
                <w:sz w:val="20"/>
                <w:szCs w:val="20"/>
              </w:rPr>
              <w:t>$</w:t>
            </w:r>
            <w:r w:rsidR="00FE2B73" w:rsidRPr="00EB58B1">
              <w:rPr>
                <w:rFonts w:ascii="Arial" w:eastAsia="Times New Roman" w:hAnsi="Arial" w:cs="Arial"/>
                <w:color w:val="000000"/>
                <w:sz w:val="20"/>
                <w:szCs w:val="20"/>
              </w:rPr>
              <w:t>95</w:t>
            </w:r>
            <w:r w:rsidRPr="00EB58B1">
              <w:rPr>
                <w:rFonts w:ascii="Arial" w:eastAsia="Times New Roman" w:hAnsi="Arial" w:cs="Arial"/>
                <w:color w:val="000000"/>
                <w:sz w:val="20"/>
                <w:szCs w:val="20"/>
              </w:rPr>
              <w:t>,200</w:t>
            </w:r>
          </w:p>
        </w:tc>
        <w:tc>
          <w:tcPr>
            <w:tcW w:w="6878" w:type="dxa"/>
          </w:tcPr>
          <w:p w14:paraId="15B32B00" w14:textId="6231B052" w:rsidR="00FE5A8F" w:rsidRPr="007706F5" w:rsidRDefault="00343C51" w:rsidP="00FE5A8F">
            <w:pPr>
              <w:keepNext/>
              <w:keepLines/>
              <w:rPr>
                <w:rFonts w:ascii="Arial" w:eastAsia="Times New Roman" w:hAnsi="Arial" w:cs="Arial"/>
                <w:color w:val="000000"/>
                <w:sz w:val="20"/>
                <w:szCs w:val="20"/>
              </w:rPr>
            </w:pPr>
            <w:r w:rsidRPr="00EB58B1">
              <w:rPr>
                <w:rFonts w:ascii="Arial" w:eastAsia="Times New Roman" w:hAnsi="Arial" w:cs="Arial"/>
                <w:color w:val="000000"/>
                <w:sz w:val="20"/>
                <w:szCs w:val="20"/>
              </w:rPr>
              <w:t>Bulimba, Clayfield, Cook, Coomera, Gregory, Gympie, Hervey Bay,</w:t>
            </w:r>
            <w:r w:rsidR="00A84294" w:rsidRPr="00EB58B1">
              <w:rPr>
                <w:rFonts w:ascii="Arial" w:eastAsia="Times New Roman" w:hAnsi="Arial" w:cs="Arial"/>
                <w:color w:val="000000"/>
                <w:sz w:val="20"/>
                <w:szCs w:val="20"/>
              </w:rPr>
              <w:t xml:space="preserve"> McConnel, Murrumba</w:t>
            </w:r>
            <w:r w:rsidR="000F6BAB" w:rsidRPr="00EB58B1">
              <w:rPr>
                <w:rFonts w:ascii="Arial" w:eastAsia="Times New Roman" w:hAnsi="Arial" w:cs="Arial"/>
                <w:color w:val="000000"/>
                <w:sz w:val="20"/>
                <w:szCs w:val="20"/>
              </w:rPr>
              <w:t>, Stafford, Traeger, Warrego</w:t>
            </w:r>
          </w:p>
        </w:tc>
      </w:tr>
    </w:tbl>
    <w:p w14:paraId="0AF90E54" w14:textId="77777777" w:rsidR="007838C6" w:rsidRPr="007706F5" w:rsidRDefault="007838C6" w:rsidP="003E257E">
      <w:pPr>
        <w:pStyle w:val="ListParagraph"/>
        <w:spacing w:after="160" w:line="259" w:lineRule="auto"/>
        <w:rPr>
          <w:rFonts w:ascii="Arial" w:hAnsi="Arial" w:cs="Arial"/>
          <w:sz w:val="23"/>
          <w:szCs w:val="23"/>
        </w:rPr>
      </w:pPr>
    </w:p>
    <w:p w14:paraId="41BD77E5" w14:textId="11E61963" w:rsidR="00F81E40" w:rsidRPr="007706F5" w:rsidRDefault="00F81E40" w:rsidP="00F81E40">
      <w:pPr>
        <w:pStyle w:val="Subtitle"/>
        <w:numPr>
          <w:ilvl w:val="0"/>
          <w:numId w:val="0"/>
        </w:numPr>
        <w:spacing w:after="160" w:line="259" w:lineRule="auto"/>
        <w:rPr>
          <w:rFonts w:ascii="Arial" w:hAnsi="Arial" w:cs="Arial"/>
          <w:sz w:val="22"/>
          <w:szCs w:val="22"/>
        </w:rPr>
      </w:pPr>
      <w:r w:rsidRPr="007706F5">
        <w:rPr>
          <w:rFonts w:ascii="Arial" w:hAnsi="Arial" w:cs="Arial"/>
          <w:sz w:val="22"/>
          <w:szCs w:val="22"/>
        </w:rPr>
        <w:t>Daily Travel Allowance</w:t>
      </w:r>
    </w:p>
    <w:p w14:paraId="6CD1A540" w14:textId="6B327326" w:rsidR="00F81E40" w:rsidRPr="007706F5" w:rsidRDefault="00F81E40" w:rsidP="00AC7BED">
      <w:pPr>
        <w:pStyle w:val="ListParagraph"/>
        <w:numPr>
          <w:ilvl w:val="0"/>
          <w:numId w:val="12"/>
        </w:numPr>
        <w:spacing w:after="160" w:line="259" w:lineRule="auto"/>
        <w:rPr>
          <w:rFonts w:ascii="Arial" w:hAnsi="Arial" w:cs="Arial"/>
        </w:rPr>
      </w:pPr>
      <w:r w:rsidRPr="007706F5">
        <w:rPr>
          <w:rFonts w:ascii="Arial" w:hAnsi="Arial" w:cs="Arial"/>
        </w:rPr>
        <w:t>The</w:t>
      </w:r>
      <w:r w:rsidR="00107AA4" w:rsidRPr="007706F5">
        <w:rPr>
          <w:rFonts w:ascii="Arial" w:hAnsi="Arial" w:cs="Arial"/>
        </w:rPr>
        <w:t xml:space="preserve"> Tribunal determines that </w:t>
      </w:r>
      <w:r w:rsidR="00335D86" w:rsidRPr="007706F5">
        <w:rPr>
          <w:rFonts w:ascii="Arial" w:hAnsi="Arial" w:cs="Arial"/>
        </w:rPr>
        <w:t xml:space="preserve">from 1 November 2020 </w:t>
      </w:r>
      <w:r w:rsidR="00107AA4" w:rsidRPr="007706F5">
        <w:rPr>
          <w:rFonts w:ascii="Arial" w:hAnsi="Arial" w:cs="Arial"/>
        </w:rPr>
        <w:t>the</w:t>
      </w:r>
      <w:r w:rsidRPr="007706F5">
        <w:rPr>
          <w:rFonts w:ascii="Arial" w:hAnsi="Arial" w:cs="Arial"/>
        </w:rPr>
        <w:t xml:space="preserve"> </w:t>
      </w:r>
      <w:r w:rsidR="00335D86" w:rsidRPr="007706F5">
        <w:rPr>
          <w:rFonts w:ascii="Arial" w:hAnsi="Arial" w:cs="Arial"/>
        </w:rPr>
        <w:t xml:space="preserve">following </w:t>
      </w:r>
      <w:r w:rsidRPr="007706F5">
        <w:rPr>
          <w:rFonts w:ascii="Arial" w:hAnsi="Arial" w:cs="Arial"/>
        </w:rPr>
        <w:t xml:space="preserve">Daily Travel Allowance rates </w:t>
      </w:r>
      <w:r w:rsidR="00A5797F" w:rsidRPr="007706F5">
        <w:rPr>
          <w:rFonts w:ascii="Arial" w:hAnsi="Arial" w:cs="Arial"/>
        </w:rPr>
        <w:t>apply</w:t>
      </w:r>
      <w:r w:rsidR="00107AA4" w:rsidRPr="007706F5">
        <w:rPr>
          <w:rFonts w:ascii="Arial" w:hAnsi="Arial" w:cs="Arial"/>
        </w:rPr>
        <w:t xml:space="preserve">: </w:t>
      </w:r>
    </w:p>
    <w:tbl>
      <w:tblPr>
        <w:tblStyle w:val="TableGrid"/>
        <w:tblW w:w="0" w:type="auto"/>
        <w:tblInd w:w="704" w:type="dxa"/>
        <w:tblLook w:val="04A0" w:firstRow="1" w:lastRow="0" w:firstColumn="1" w:lastColumn="0" w:noHBand="0" w:noVBand="1"/>
      </w:tblPr>
      <w:tblGrid>
        <w:gridCol w:w="4110"/>
        <w:gridCol w:w="4814"/>
      </w:tblGrid>
      <w:tr w:rsidR="00CC56E3" w:rsidRPr="007706F5" w14:paraId="3197A58E" w14:textId="77777777" w:rsidTr="006620BE">
        <w:tc>
          <w:tcPr>
            <w:tcW w:w="4110" w:type="dxa"/>
            <w:shd w:val="clear" w:color="auto" w:fill="8EAADB" w:themeFill="accent1" w:themeFillTint="99"/>
          </w:tcPr>
          <w:p w14:paraId="08401B56" w14:textId="77777777" w:rsidR="00CC56E3" w:rsidRPr="007706F5" w:rsidRDefault="00CC56E3" w:rsidP="001A48CE">
            <w:pPr>
              <w:rPr>
                <w:rFonts w:ascii="Arial" w:hAnsi="Arial" w:cs="Arial"/>
                <w:b/>
              </w:rPr>
            </w:pPr>
            <w:r w:rsidRPr="007706F5">
              <w:rPr>
                <w:rFonts w:ascii="Arial" w:hAnsi="Arial" w:cs="Arial"/>
                <w:lang w:val="en-US"/>
              </w:rPr>
              <w:br w:type="page"/>
            </w:r>
            <w:r w:rsidRPr="007706F5">
              <w:rPr>
                <w:rFonts w:ascii="Arial" w:hAnsi="Arial" w:cs="Arial"/>
                <w:b/>
              </w:rPr>
              <w:t>Location of Overnight stay</w:t>
            </w:r>
          </w:p>
        </w:tc>
        <w:tc>
          <w:tcPr>
            <w:tcW w:w="4814" w:type="dxa"/>
            <w:shd w:val="clear" w:color="auto" w:fill="8EAADB" w:themeFill="accent1" w:themeFillTint="99"/>
          </w:tcPr>
          <w:p w14:paraId="1E655C6E" w14:textId="77777777" w:rsidR="00CC56E3" w:rsidRPr="007706F5" w:rsidRDefault="00CC56E3" w:rsidP="001A48CE">
            <w:pPr>
              <w:rPr>
                <w:rFonts w:ascii="Arial" w:hAnsi="Arial" w:cs="Arial"/>
                <w:b/>
              </w:rPr>
            </w:pPr>
            <w:r w:rsidRPr="007706F5">
              <w:rPr>
                <w:rFonts w:ascii="Arial" w:hAnsi="Arial" w:cs="Arial"/>
                <w:b/>
              </w:rPr>
              <w:t>Amount</w:t>
            </w:r>
          </w:p>
        </w:tc>
      </w:tr>
      <w:tr w:rsidR="00CC56E3" w:rsidRPr="007706F5" w14:paraId="5A211029" w14:textId="77777777" w:rsidTr="006620BE">
        <w:tc>
          <w:tcPr>
            <w:tcW w:w="4110" w:type="dxa"/>
          </w:tcPr>
          <w:p w14:paraId="21B6F7E7" w14:textId="77777777" w:rsidR="00CC56E3" w:rsidRPr="007706F5" w:rsidRDefault="00CC56E3" w:rsidP="001A48CE">
            <w:pPr>
              <w:rPr>
                <w:rFonts w:ascii="Arial" w:hAnsi="Arial" w:cs="Arial"/>
              </w:rPr>
            </w:pPr>
            <w:r w:rsidRPr="007706F5">
              <w:rPr>
                <w:rFonts w:ascii="Arial" w:hAnsi="Arial" w:cs="Arial"/>
              </w:rPr>
              <w:t>State and Territory capital cities within Australia as well as Wellington (New Zealand) and Port Moresby (Papua New Guinea)</w:t>
            </w:r>
          </w:p>
        </w:tc>
        <w:tc>
          <w:tcPr>
            <w:tcW w:w="4814" w:type="dxa"/>
          </w:tcPr>
          <w:p w14:paraId="03511F0E" w14:textId="77777777" w:rsidR="00CC56E3" w:rsidRPr="007706F5" w:rsidRDefault="00CC56E3" w:rsidP="001A48CE">
            <w:pPr>
              <w:rPr>
                <w:rFonts w:ascii="Arial" w:hAnsi="Arial" w:cs="Arial"/>
              </w:rPr>
            </w:pPr>
            <w:r w:rsidRPr="007706F5">
              <w:rPr>
                <w:rFonts w:ascii="Arial" w:hAnsi="Arial" w:cs="Arial"/>
              </w:rPr>
              <w:t>$399.00 per day</w:t>
            </w:r>
          </w:p>
        </w:tc>
      </w:tr>
      <w:tr w:rsidR="00CC56E3" w:rsidRPr="007706F5" w14:paraId="1E800356" w14:textId="77777777" w:rsidTr="006620BE">
        <w:tc>
          <w:tcPr>
            <w:tcW w:w="4110" w:type="dxa"/>
          </w:tcPr>
          <w:p w14:paraId="4175D7F4" w14:textId="77777777" w:rsidR="00CC56E3" w:rsidRPr="007706F5" w:rsidRDefault="00CC56E3" w:rsidP="001A48CE">
            <w:pPr>
              <w:rPr>
                <w:rFonts w:ascii="Arial" w:hAnsi="Arial" w:cs="Arial"/>
              </w:rPr>
            </w:pPr>
            <w:r w:rsidRPr="007706F5">
              <w:rPr>
                <w:rFonts w:ascii="Arial" w:hAnsi="Arial" w:cs="Arial"/>
              </w:rPr>
              <w:t>All other destinations</w:t>
            </w:r>
          </w:p>
        </w:tc>
        <w:tc>
          <w:tcPr>
            <w:tcW w:w="4814" w:type="dxa"/>
          </w:tcPr>
          <w:p w14:paraId="60EA7B10" w14:textId="77777777" w:rsidR="00CC56E3" w:rsidRPr="007706F5" w:rsidRDefault="00CC56E3" w:rsidP="001A48CE">
            <w:pPr>
              <w:rPr>
                <w:rFonts w:ascii="Arial" w:hAnsi="Arial" w:cs="Arial"/>
              </w:rPr>
            </w:pPr>
            <w:r w:rsidRPr="007706F5">
              <w:rPr>
                <w:rFonts w:ascii="Arial" w:hAnsi="Arial" w:cs="Arial"/>
              </w:rPr>
              <w:t>$284.00 per day</w:t>
            </w:r>
          </w:p>
        </w:tc>
      </w:tr>
      <w:tr w:rsidR="00CC56E3" w:rsidRPr="007706F5" w14:paraId="770AD4D3" w14:textId="77777777" w:rsidTr="006620BE">
        <w:tc>
          <w:tcPr>
            <w:tcW w:w="4110" w:type="dxa"/>
          </w:tcPr>
          <w:p w14:paraId="300CAAA6" w14:textId="77777777" w:rsidR="00CC56E3" w:rsidRPr="007706F5" w:rsidRDefault="00CC56E3" w:rsidP="001A48CE">
            <w:pPr>
              <w:rPr>
                <w:rFonts w:ascii="Arial" w:hAnsi="Arial" w:cs="Arial"/>
              </w:rPr>
            </w:pPr>
            <w:r w:rsidRPr="007706F5">
              <w:rPr>
                <w:rFonts w:ascii="Arial" w:hAnsi="Arial" w:cs="Arial"/>
              </w:rPr>
              <w:t>Overseas</w:t>
            </w:r>
          </w:p>
        </w:tc>
        <w:tc>
          <w:tcPr>
            <w:tcW w:w="4814" w:type="dxa"/>
          </w:tcPr>
          <w:p w14:paraId="70FB62D1" w14:textId="77777777" w:rsidR="00CC56E3" w:rsidRPr="007706F5" w:rsidRDefault="00CC56E3" w:rsidP="001A48CE">
            <w:pPr>
              <w:rPr>
                <w:rFonts w:ascii="Arial" w:hAnsi="Arial" w:cs="Arial"/>
              </w:rPr>
            </w:pPr>
            <w:r w:rsidRPr="007706F5">
              <w:rPr>
                <w:rFonts w:ascii="Arial" w:hAnsi="Arial" w:cs="Arial"/>
              </w:rPr>
              <w:t>$333.00 per day</w:t>
            </w:r>
          </w:p>
        </w:tc>
      </w:tr>
    </w:tbl>
    <w:p w14:paraId="51EDE0EF" w14:textId="66E83957" w:rsidR="00024FAA" w:rsidRPr="007706F5" w:rsidRDefault="00024FAA" w:rsidP="009A4388">
      <w:pPr>
        <w:pStyle w:val="ListParagraph"/>
        <w:keepNext/>
        <w:numPr>
          <w:ilvl w:val="0"/>
          <w:numId w:val="12"/>
        </w:numPr>
        <w:spacing w:before="240" w:after="200" w:line="276" w:lineRule="auto"/>
        <w:ind w:left="714" w:hanging="357"/>
        <w:rPr>
          <w:rFonts w:ascii="Arial" w:eastAsia="Calibri" w:hAnsi="Arial" w:cs="Arial"/>
        </w:rPr>
      </w:pPr>
      <w:r w:rsidRPr="007706F5">
        <w:rPr>
          <w:rFonts w:ascii="Arial" w:eastAsia="Calibri" w:hAnsi="Arial" w:cs="Arial"/>
        </w:rPr>
        <w:lastRenderedPageBreak/>
        <w:t xml:space="preserve">For the Parliamentary Business Overnight Rate, the following rates will apply:  </w:t>
      </w:r>
    </w:p>
    <w:tbl>
      <w:tblPr>
        <w:tblStyle w:val="TableGrid"/>
        <w:tblW w:w="0" w:type="auto"/>
        <w:tblInd w:w="704" w:type="dxa"/>
        <w:tblLook w:val="04A0" w:firstRow="1" w:lastRow="0" w:firstColumn="1" w:lastColumn="0" w:noHBand="0" w:noVBand="1"/>
      </w:tblPr>
      <w:tblGrid>
        <w:gridCol w:w="5812"/>
        <w:gridCol w:w="3112"/>
      </w:tblGrid>
      <w:tr w:rsidR="00024FAA" w:rsidRPr="007706F5" w14:paraId="40A6B9F7" w14:textId="77777777" w:rsidTr="00024FAA">
        <w:tc>
          <w:tcPr>
            <w:tcW w:w="5812" w:type="dxa"/>
            <w:shd w:val="clear" w:color="auto" w:fill="8EAADB" w:themeFill="accent1" w:themeFillTint="99"/>
          </w:tcPr>
          <w:p w14:paraId="2DDB11C8" w14:textId="77777777" w:rsidR="00024FAA" w:rsidRPr="007706F5" w:rsidRDefault="00024FAA" w:rsidP="002169C6">
            <w:pPr>
              <w:keepNext/>
              <w:keepLines/>
              <w:rPr>
                <w:rFonts w:ascii="Arial" w:hAnsi="Arial" w:cs="Arial"/>
                <w:b/>
                <w:lang w:val="en-US"/>
              </w:rPr>
            </w:pPr>
            <w:r w:rsidRPr="007706F5">
              <w:rPr>
                <w:rFonts w:ascii="Arial" w:hAnsi="Arial" w:cs="Arial"/>
                <w:b/>
                <w:lang w:val="en-US"/>
              </w:rPr>
              <w:t>Circumstance</w:t>
            </w:r>
          </w:p>
        </w:tc>
        <w:tc>
          <w:tcPr>
            <w:tcW w:w="3112" w:type="dxa"/>
            <w:shd w:val="clear" w:color="auto" w:fill="8EAADB" w:themeFill="accent1" w:themeFillTint="99"/>
          </w:tcPr>
          <w:p w14:paraId="48460125" w14:textId="77777777" w:rsidR="00024FAA" w:rsidRPr="007706F5" w:rsidRDefault="00024FAA" w:rsidP="002169C6">
            <w:pPr>
              <w:keepNext/>
              <w:keepLines/>
              <w:rPr>
                <w:rFonts w:ascii="Arial" w:hAnsi="Arial" w:cs="Arial"/>
                <w:b/>
                <w:lang w:val="en-US"/>
              </w:rPr>
            </w:pPr>
            <w:r w:rsidRPr="007706F5">
              <w:rPr>
                <w:rFonts w:ascii="Arial" w:hAnsi="Arial" w:cs="Arial"/>
                <w:b/>
                <w:lang w:val="en-US"/>
              </w:rPr>
              <w:t xml:space="preserve">Amount </w:t>
            </w:r>
          </w:p>
        </w:tc>
      </w:tr>
      <w:tr w:rsidR="00024FAA" w:rsidRPr="007706F5" w14:paraId="4DE68185" w14:textId="77777777" w:rsidTr="00024FAA">
        <w:tc>
          <w:tcPr>
            <w:tcW w:w="5812" w:type="dxa"/>
          </w:tcPr>
          <w:p w14:paraId="5739042F" w14:textId="77777777" w:rsidR="00024FAA" w:rsidRPr="007706F5" w:rsidRDefault="00024FAA" w:rsidP="002169C6">
            <w:pPr>
              <w:keepNext/>
              <w:keepLines/>
              <w:rPr>
                <w:rFonts w:ascii="Arial" w:hAnsi="Arial" w:cs="Arial"/>
                <w:lang w:val="en-US"/>
              </w:rPr>
            </w:pPr>
            <w:r w:rsidRPr="007706F5">
              <w:rPr>
                <w:rFonts w:ascii="Arial" w:hAnsi="Arial" w:cs="Arial"/>
                <w:lang w:val="en-US"/>
              </w:rPr>
              <w:t xml:space="preserve">Members provided with overnight accommodation in the Parliamentary </w:t>
            </w:r>
            <w:proofErr w:type="spellStart"/>
            <w:r w:rsidRPr="007706F5">
              <w:rPr>
                <w:rFonts w:ascii="Arial" w:hAnsi="Arial" w:cs="Arial"/>
                <w:lang w:val="en-US"/>
              </w:rPr>
              <w:t>Annexe</w:t>
            </w:r>
            <w:proofErr w:type="spellEnd"/>
          </w:p>
        </w:tc>
        <w:tc>
          <w:tcPr>
            <w:tcW w:w="3112" w:type="dxa"/>
          </w:tcPr>
          <w:p w14:paraId="4162558B" w14:textId="77777777" w:rsidR="00024FAA" w:rsidRPr="007706F5" w:rsidRDefault="00024FAA" w:rsidP="002169C6">
            <w:pPr>
              <w:keepNext/>
              <w:keepLines/>
              <w:rPr>
                <w:rFonts w:ascii="Arial" w:hAnsi="Arial" w:cs="Arial"/>
                <w:lang w:val="en-US"/>
              </w:rPr>
            </w:pPr>
            <w:r w:rsidRPr="007706F5">
              <w:rPr>
                <w:rFonts w:ascii="Arial" w:hAnsi="Arial" w:cs="Arial"/>
                <w:lang w:val="en-US"/>
              </w:rPr>
              <w:t>$133.00 per day</w:t>
            </w:r>
          </w:p>
          <w:p w14:paraId="7478807F" w14:textId="4E85E7C6" w:rsidR="00024FAA" w:rsidRPr="007706F5" w:rsidRDefault="00AA3C65" w:rsidP="002169C6">
            <w:pPr>
              <w:keepNext/>
              <w:keepLines/>
              <w:rPr>
                <w:rFonts w:ascii="Arial" w:hAnsi="Arial" w:cs="Arial"/>
                <w:lang w:val="en-US"/>
              </w:rPr>
            </w:pPr>
            <w:r w:rsidRPr="007706F5">
              <w:rPr>
                <w:rFonts w:ascii="Arial" w:hAnsi="Arial" w:cs="Arial"/>
                <w:lang w:val="en-US"/>
              </w:rPr>
              <w:t>(1/3</w:t>
            </w:r>
            <w:r w:rsidRPr="007706F5">
              <w:rPr>
                <w:rFonts w:ascii="Arial" w:hAnsi="Arial" w:cs="Arial"/>
                <w:vertAlign w:val="superscript"/>
                <w:lang w:val="en-US"/>
              </w:rPr>
              <w:t>rd</w:t>
            </w:r>
            <w:r w:rsidRPr="007706F5">
              <w:rPr>
                <w:rFonts w:ascii="Arial" w:hAnsi="Arial" w:cs="Arial"/>
                <w:lang w:val="en-US"/>
              </w:rPr>
              <w:t xml:space="preserve"> of the current capital city rate))</w:t>
            </w:r>
          </w:p>
        </w:tc>
      </w:tr>
      <w:tr w:rsidR="00024FAA" w:rsidRPr="007706F5" w14:paraId="7D981038" w14:textId="77777777" w:rsidTr="00024FAA">
        <w:tc>
          <w:tcPr>
            <w:tcW w:w="5812" w:type="dxa"/>
          </w:tcPr>
          <w:p w14:paraId="1F03AF0C" w14:textId="77777777" w:rsidR="00024FAA" w:rsidRPr="007706F5" w:rsidRDefault="00024FAA" w:rsidP="002169C6">
            <w:pPr>
              <w:keepNext/>
              <w:keepLines/>
              <w:rPr>
                <w:rFonts w:ascii="Arial" w:hAnsi="Arial" w:cs="Arial"/>
                <w:lang w:val="en-US"/>
              </w:rPr>
            </w:pPr>
            <w:r w:rsidRPr="007706F5">
              <w:rPr>
                <w:rFonts w:ascii="Arial" w:hAnsi="Arial" w:cs="Arial"/>
                <w:lang w:val="en-US"/>
              </w:rPr>
              <w:t xml:space="preserve">Members representing Brisbane based electorates not provided with overnight accommodation in the Parliamentary </w:t>
            </w:r>
            <w:proofErr w:type="spellStart"/>
            <w:r w:rsidRPr="007706F5">
              <w:rPr>
                <w:rFonts w:ascii="Arial" w:hAnsi="Arial" w:cs="Arial"/>
                <w:lang w:val="en-US"/>
              </w:rPr>
              <w:t>Annexe</w:t>
            </w:r>
            <w:proofErr w:type="spellEnd"/>
            <w:r w:rsidRPr="007706F5">
              <w:rPr>
                <w:rFonts w:ascii="Arial" w:hAnsi="Arial" w:cs="Arial"/>
                <w:lang w:val="en-US"/>
              </w:rPr>
              <w:t xml:space="preserve"> who stay in commercial accommodation facilities for an overnight stay (</w:t>
            </w:r>
            <w:proofErr w:type="gramStart"/>
            <w:r w:rsidRPr="007706F5">
              <w:rPr>
                <w:rFonts w:ascii="Arial" w:hAnsi="Arial" w:cs="Arial"/>
                <w:lang w:val="en-US"/>
              </w:rPr>
              <w:t>e.g.</w:t>
            </w:r>
            <w:proofErr w:type="gramEnd"/>
            <w:r w:rsidRPr="007706F5">
              <w:rPr>
                <w:rFonts w:ascii="Arial" w:hAnsi="Arial" w:cs="Arial"/>
                <w:lang w:val="en-US"/>
              </w:rPr>
              <w:t xml:space="preserve"> hotel)</w:t>
            </w:r>
          </w:p>
        </w:tc>
        <w:tc>
          <w:tcPr>
            <w:tcW w:w="3112" w:type="dxa"/>
          </w:tcPr>
          <w:p w14:paraId="6B5F3021" w14:textId="77777777" w:rsidR="00024FAA" w:rsidRPr="007706F5" w:rsidRDefault="00024FAA" w:rsidP="002169C6">
            <w:pPr>
              <w:keepNext/>
              <w:keepLines/>
              <w:rPr>
                <w:rFonts w:ascii="Arial" w:hAnsi="Arial" w:cs="Arial"/>
                <w:lang w:val="en-US"/>
              </w:rPr>
            </w:pPr>
            <w:r w:rsidRPr="007706F5">
              <w:rPr>
                <w:rFonts w:ascii="Arial" w:hAnsi="Arial" w:cs="Arial"/>
                <w:lang w:val="en-US"/>
              </w:rPr>
              <w:t>$133.00 per day</w:t>
            </w:r>
          </w:p>
          <w:p w14:paraId="3DC65AD9" w14:textId="243BF06C" w:rsidR="00024FAA" w:rsidRPr="007706F5" w:rsidRDefault="00AA3C65" w:rsidP="002169C6">
            <w:pPr>
              <w:keepNext/>
              <w:keepLines/>
              <w:rPr>
                <w:rFonts w:ascii="Arial" w:hAnsi="Arial" w:cs="Arial"/>
                <w:lang w:val="en-US"/>
              </w:rPr>
            </w:pPr>
            <w:r w:rsidRPr="007706F5">
              <w:rPr>
                <w:rFonts w:ascii="Arial" w:hAnsi="Arial" w:cs="Arial"/>
                <w:lang w:val="en-US"/>
              </w:rPr>
              <w:t>(1/3</w:t>
            </w:r>
            <w:r w:rsidRPr="007706F5">
              <w:rPr>
                <w:rFonts w:ascii="Arial" w:hAnsi="Arial" w:cs="Arial"/>
                <w:vertAlign w:val="superscript"/>
                <w:lang w:val="en-US"/>
              </w:rPr>
              <w:t>rd</w:t>
            </w:r>
            <w:r w:rsidRPr="007706F5">
              <w:rPr>
                <w:rFonts w:ascii="Arial" w:hAnsi="Arial" w:cs="Arial"/>
                <w:lang w:val="en-US"/>
              </w:rPr>
              <w:t xml:space="preserve"> of the current capital city rate))</w:t>
            </w:r>
          </w:p>
        </w:tc>
      </w:tr>
      <w:tr w:rsidR="00024FAA" w:rsidRPr="007706F5" w14:paraId="51260DBE" w14:textId="77777777" w:rsidTr="00024FAA">
        <w:tc>
          <w:tcPr>
            <w:tcW w:w="5812" w:type="dxa"/>
          </w:tcPr>
          <w:p w14:paraId="4DB328EF" w14:textId="77777777" w:rsidR="00024FAA" w:rsidRPr="007706F5" w:rsidRDefault="00024FAA" w:rsidP="002169C6">
            <w:pPr>
              <w:keepNext/>
              <w:keepLines/>
              <w:rPr>
                <w:rFonts w:ascii="Arial" w:hAnsi="Arial" w:cs="Arial"/>
                <w:lang w:val="en-US"/>
              </w:rPr>
            </w:pPr>
            <w:r w:rsidRPr="007706F5">
              <w:rPr>
                <w:rFonts w:ascii="Arial" w:hAnsi="Arial" w:cs="Arial"/>
                <w:lang w:val="en-US"/>
              </w:rPr>
              <w:t xml:space="preserve">Other members not provided with overnight accommodation in the Parliamentary </w:t>
            </w:r>
            <w:proofErr w:type="spellStart"/>
            <w:r w:rsidRPr="007706F5">
              <w:rPr>
                <w:rFonts w:ascii="Arial" w:hAnsi="Arial" w:cs="Arial"/>
                <w:lang w:val="en-US"/>
              </w:rPr>
              <w:t>Annexe</w:t>
            </w:r>
            <w:proofErr w:type="spellEnd"/>
            <w:r w:rsidRPr="007706F5">
              <w:rPr>
                <w:rFonts w:ascii="Arial" w:hAnsi="Arial" w:cs="Arial"/>
                <w:lang w:val="en-US"/>
              </w:rPr>
              <w:t xml:space="preserve"> who stay in commercial accommodation facilities for an overnight stay (</w:t>
            </w:r>
            <w:proofErr w:type="gramStart"/>
            <w:r w:rsidRPr="007706F5">
              <w:rPr>
                <w:rFonts w:ascii="Arial" w:hAnsi="Arial" w:cs="Arial"/>
                <w:lang w:val="en-US"/>
              </w:rPr>
              <w:t>e.g.</w:t>
            </w:r>
            <w:proofErr w:type="gramEnd"/>
            <w:r w:rsidRPr="007706F5">
              <w:rPr>
                <w:rFonts w:ascii="Arial" w:hAnsi="Arial" w:cs="Arial"/>
                <w:lang w:val="en-US"/>
              </w:rPr>
              <w:t xml:space="preserve"> hotel)</w:t>
            </w:r>
          </w:p>
        </w:tc>
        <w:tc>
          <w:tcPr>
            <w:tcW w:w="3112" w:type="dxa"/>
          </w:tcPr>
          <w:p w14:paraId="6D362493" w14:textId="77777777" w:rsidR="00024FAA" w:rsidRPr="007706F5" w:rsidRDefault="00024FAA" w:rsidP="002169C6">
            <w:pPr>
              <w:keepNext/>
              <w:keepLines/>
              <w:rPr>
                <w:rFonts w:ascii="Arial" w:hAnsi="Arial" w:cs="Arial"/>
                <w:lang w:val="en-US"/>
              </w:rPr>
            </w:pPr>
            <w:r w:rsidRPr="007706F5">
              <w:rPr>
                <w:rFonts w:ascii="Arial" w:hAnsi="Arial" w:cs="Arial"/>
                <w:lang w:val="en-US"/>
              </w:rPr>
              <w:t xml:space="preserve">$399.00 per day. </w:t>
            </w:r>
          </w:p>
        </w:tc>
      </w:tr>
    </w:tbl>
    <w:p w14:paraId="35ADD571" w14:textId="1C328F6D" w:rsidR="006620BE" w:rsidRPr="007706F5" w:rsidRDefault="00FD0212" w:rsidP="00AC7BED">
      <w:pPr>
        <w:pStyle w:val="ListParagraph"/>
        <w:numPr>
          <w:ilvl w:val="0"/>
          <w:numId w:val="12"/>
        </w:numPr>
        <w:spacing w:before="240" w:after="160" w:line="259" w:lineRule="auto"/>
        <w:rPr>
          <w:rFonts w:ascii="Arial" w:eastAsia="Calibri" w:hAnsi="Arial" w:cs="Arial"/>
        </w:rPr>
      </w:pPr>
      <w:r w:rsidRPr="007706F5">
        <w:rPr>
          <w:rFonts w:ascii="Arial" w:eastAsia="Calibri" w:hAnsi="Arial" w:cs="Arial"/>
        </w:rPr>
        <w:t xml:space="preserve">The administrative arrangements for the Daily Travel Allowance and Parliamentary Business Overnight Rate are confirmed and not amended. </w:t>
      </w:r>
    </w:p>
    <w:p w14:paraId="28020EBF" w14:textId="3D08EB02" w:rsidR="000E51A1" w:rsidRPr="007706F5" w:rsidRDefault="000E51A1" w:rsidP="007F271C">
      <w:pPr>
        <w:rPr>
          <w:rFonts w:ascii="Arial" w:hAnsi="Arial" w:cs="Arial"/>
          <w:sz w:val="23"/>
          <w:szCs w:val="23"/>
        </w:rPr>
      </w:pPr>
    </w:p>
    <w:p w14:paraId="1A2C8977" w14:textId="77777777" w:rsidR="00B37FE5" w:rsidRPr="007706F5" w:rsidRDefault="00B37FE5" w:rsidP="007F271C">
      <w:pPr>
        <w:rPr>
          <w:rFonts w:ascii="Arial" w:hAnsi="Arial" w:cs="Arial"/>
          <w:sz w:val="23"/>
          <w:szCs w:val="23"/>
        </w:rPr>
      </w:pPr>
    </w:p>
    <w:p w14:paraId="71FC7BBE" w14:textId="7891C056" w:rsidR="007F271C" w:rsidRPr="007706F5" w:rsidRDefault="007F271C" w:rsidP="007F271C">
      <w:pPr>
        <w:jc w:val="right"/>
        <w:rPr>
          <w:rFonts w:ascii="Arial" w:hAnsi="Arial" w:cs="Arial"/>
          <w:b/>
          <w:sz w:val="23"/>
          <w:szCs w:val="23"/>
        </w:rPr>
      </w:pPr>
      <w:r w:rsidRPr="007706F5">
        <w:rPr>
          <w:rFonts w:ascii="Arial" w:hAnsi="Arial" w:cs="Arial"/>
          <w:b/>
          <w:sz w:val="23"/>
          <w:szCs w:val="23"/>
        </w:rPr>
        <w:t xml:space="preserve">Date of Determination: </w:t>
      </w:r>
      <w:r w:rsidR="00CB794E">
        <w:rPr>
          <w:rFonts w:ascii="Arial" w:hAnsi="Arial" w:cs="Arial"/>
          <w:b/>
          <w:sz w:val="23"/>
          <w:szCs w:val="23"/>
        </w:rPr>
        <w:t>13</w:t>
      </w:r>
      <w:r w:rsidR="005C71A2" w:rsidRPr="007706F5">
        <w:rPr>
          <w:rFonts w:ascii="Arial" w:hAnsi="Arial" w:cs="Arial"/>
          <w:b/>
          <w:sz w:val="23"/>
          <w:szCs w:val="23"/>
        </w:rPr>
        <w:t xml:space="preserve"> </w:t>
      </w:r>
      <w:r w:rsidR="001F4278">
        <w:rPr>
          <w:rFonts w:ascii="Arial" w:hAnsi="Arial" w:cs="Arial"/>
          <w:b/>
          <w:sz w:val="23"/>
          <w:szCs w:val="23"/>
        </w:rPr>
        <w:t>AUGUST</w:t>
      </w:r>
      <w:r w:rsidR="005C71A2" w:rsidRPr="007706F5">
        <w:rPr>
          <w:rFonts w:ascii="Arial" w:hAnsi="Arial" w:cs="Arial"/>
          <w:b/>
          <w:sz w:val="23"/>
          <w:szCs w:val="23"/>
        </w:rPr>
        <w:t xml:space="preserve"> 2020</w:t>
      </w:r>
    </w:p>
    <w:p w14:paraId="49A147FD" w14:textId="0B91506D" w:rsidR="001C349E" w:rsidRPr="007706F5" w:rsidRDefault="00CB34BE" w:rsidP="007F271C">
      <w:pPr>
        <w:jc w:val="right"/>
        <w:rPr>
          <w:rFonts w:ascii="Arial" w:hAnsi="Arial" w:cs="Arial"/>
          <w:b/>
          <w:sz w:val="23"/>
          <w:szCs w:val="23"/>
        </w:rPr>
      </w:pPr>
      <w:r w:rsidRPr="007706F5">
        <w:rPr>
          <w:rFonts w:ascii="Arial" w:hAnsi="Arial" w:cs="Arial"/>
          <w:b/>
          <w:sz w:val="23"/>
          <w:szCs w:val="23"/>
        </w:rPr>
        <w:t xml:space="preserve">Effective Date: </w:t>
      </w:r>
      <w:r w:rsidR="00695E11" w:rsidRPr="007706F5">
        <w:rPr>
          <w:rFonts w:ascii="Arial" w:hAnsi="Arial" w:cs="Arial"/>
          <w:b/>
          <w:sz w:val="23"/>
          <w:szCs w:val="23"/>
        </w:rPr>
        <w:t>Various</w:t>
      </w:r>
    </w:p>
    <w:p w14:paraId="629A8AC3" w14:textId="4160C93B" w:rsidR="007F271C" w:rsidRPr="007706F5" w:rsidRDefault="007F271C" w:rsidP="007F271C">
      <w:pPr>
        <w:rPr>
          <w:rFonts w:ascii="Arial" w:hAnsi="Arial" w:cs="Arial"/>
          <w:b/>
        </w:rPr>
      </w:pPr>
    </w:p>
    <w:p w14:paraId="5DCA3C52" w14:textId="601372BE" w:rsidR="007F271C" w:rsidRPr="007706F5" w:rsidRDefault="002B31EE" w:rsidP="002B31EE">
      <w:pPr>
        <w:tabs>
          <w:tab w:val="left" w:pos="1240"/>
        </w:tabs>
        <w:rPr>
          <w:rFonts w:ascii="Arial" w:hAnsi="Arial" w:cs="Arial"/>
          <w:b/>
        </w:rPr>
      </w:pPr>
      <w:r w:rsidRPr="007706F5">
        <w:rPr>
          <w:rFonts w:ascii="Arial" w:hAnsi="Arial" w:cs="Arial"/>
          <w:b/>
        </w:rPr>
        <w:tab/>
      </w:r>
    </w:p>
    <w:p w14:paraId="3278FBB1" w14:textId="6E90D7F1" w:rsidR="007F271C" w:rsidRPr="007706F5" w:rsidRDefault="007F271C" w:rsidP="007F271C">
      <w:pPr>
        <w:rPr>
          <w:rFonts w:ascii="Arial" w:hAnsi="Arial" w:cs="Arial"/>
          <w:b/>
          <w:sz w:val="10"/>
          <w:szCs w:val="10"/>
        </w:rPr>
      </w:pPr>
    </w:p>
    <w:p w14:paraId="29E0DA6F" w14:textId="7959F7D7" w:rsidR="006D2FC1" w:rsidRPr="007706F5" w:rsidRDefault="006D2FC1" w:rsidP="007F271C">
      <w:pPr>
        <w:rPr>
          <w:rFonts w:ascii="Arial" w:hAnsi="Arial" w:cs="Arial"/>
          <w:b/>
          <w:sz w:val="10"/>
          <w:szCs w:val="10"/>
        </w:rPr>
      </w:pPr>
    </w:p>
    <w:p w14:paraId="3228A699" w14:textId="73C160B3" w:rsidR="006D2FC1" w:rsidRPr="007706F5" w:rsidRDefault="002B31EE" w:rsidP="002B31EE">
      <w:pPr>
        <w:tabs>
          <w:tab w:val="left" w:pos="2229"/>
        </w:tabs>
        <w:rPr>
          <w:rFonts w:ascii="Arial" w:hAnsi="Arial" w:cs="Arial"/>
          <w:b/>
          <w:sz w:val="10"/>
          <w:szCs w:val="10"/>
        </w:rPr>
      </w:pPr>
      <w:r w:rsidRPr="007706F5">
        <w:rPr>
          <w:rFonts w:ascii="Arial" w:hAnsi="Arial" w:cs="Arial"/>
          <w:b/>
          <w:sz w:val="10"/>
          <w:szCs w:val="10"/>
        </w:rPr>
        <w:tab/>
      </w:r>
    </w:p>
    <w:p w14:paraId="5C8BFFFD" w14:textId="04074239" w:rsidR="006D2FC1" w:rsidRPr="007706F5" w:rsidRDefault="00620B4B" w:rsidP="007F271C">
      <w:pPr>
        <w:rPr>
          <w:rFonts w:ascii="Arial" w:hAnsi="Arial" w:cs="Arial"/>
          <w:b/>
          <w:sz w:val="10"/>
          <w:szCs w:val="10"/>
        </w:rPr>
      </w:pPr>
      <w:r>
        <w:rPr>
          <w:rFonts w:ascii="Arial" w:hAnsi="Arial" w:cs="Arial"/>
          <w:b/>
          <w:sz w:val="10"/>
          <w:szCs w:val="10"/>
        </w:rPr>
        <w:t xml:space="preserve">                                              </w:t>
      </w:r>
    </w:p>
    <w:p w14:paraId="665C9056" w14:textId="16F877D3" w:rsidR="007F271C" w:rsidRPr="007706F5" w:rsidRDefault="007F271C" w:rsidP="007F271C">
      <w:pPr>
        <w:rPr>
          <w:rFonts w:ascii="Arial" w:hAnsi="Arial" w:cs="Arial"/>
          <w:b/>
        </w:rPr>
      </w:pPr>
      <w:r w:rsidRPr="007706F5">
        <w:rPr>
          <w:rFonts w:ascii="Arial" w:hAnsi="Arial" w:cs="Arial"/>
          <w:b/>
        </w:rPr>
        <w:t>_______________________</w:t>
      </w:r>
      <w:r w:rsidRPr="007706F5">
        <w:rPr>
          <w:rFonts w:ascii="Arial" w:hAnsi="Arial" w:cs="Arial"/>
          <w:b/>
        </w:rPr>
        <w:tab/>
      </w:r>
      <w:r w:rsidRPr="007706F5">
        <w:rPr>
          <w:rFonts w:ascii="Arial" w:hAnsi="Arial" w:cs="Arial"/>
          <w:b/>
        </w:rPr>
        <w:tab/>
        <w:t>_______________</w:t>
      </w:r>
      <w:r w:rsidR="00BD4C7A" w:rsidRPr="007706F5">
        <w:rPr>
          <w:rFonts w:ascii="Arial" w:hAnsi="Arial" w:cs="Arial"/>
          <w:b/>
        </w:rPr>
        <w:t>___</w:t>
      </w:r>
      <w:r w:rsidR="00BD4C7A" w:rsidRPr="007706F5">
        <w:rPr>
          <w:rFonts w:ascii="Arial" w:hAnsi="Arial" w:cs="Arial"/>
          <w:b/>
        </w:rPr>
        <w:tab/>
      </w:r>
      <w:r w:rsidRPr="007706F5">
        <w:rPr>
          <w:rFonts w:ascii="Arial" w:hAnsi="Arial" w:cs="Arial"/>
          <w:b/>
        </w:rPr>
        <w:t>___________________</w:t>
      </w:r>
    </w:p>
    <w:p w14:paraId="3F520E5F" w14:textId="4A03E3D5" w:rsidR="00BD4C7A" w:rsidRPr="007706F5" w:rsidRDefault="00907F2C" w:rsidP="007F271C">
      <w:pPr>
        <w:rPr>
          <w:rFonts w:ascii="Arial" w:hAnsi="Arial" w:cs="Arial"/>
          <w:b/>
          <w:sz w:val="23"/>
          <w:szCs w:val="23"/>
        </w:rPr>
      </w:pPr>
      <w:r w:rsidRPr="007706F5">
        <w:rPr>
          <w:rFonts w:ascii="Arial" w:hAnsi="Arial" w:cs="Arial"/>
          <w:b/>
          <w:sz w:val="23"/>
          <w:szCs w:val="23"/>
        </w:rPr>
        <w:t>Mr Walter Tutt</w:t>
      </w:r>
      <w:r w:rsidRPr="007706F5">
        <w:rPr>
          <w:rFonts w:ascii="Arial" w:hAnsi="Arial" w:cs="Arial"/>
          <w:b/>
          <w:sz w:val="23"/>
          <w:szCs w:val="23"/>
        </w:rPr>
        <w:tab/>
      </w:r>
      <w:r w:rsidR="007F271C" w:rsidRPr="007706F5">
        <w:rPr>
          <w:rFonts w:ascii="Arial" w:hAnsi="Arial" w:cs="Arial"/>
          <w:b/>
          <w:sz w:val="23"/>
          <w:szCs w:val="23"/>
        </w:rPr>
        <w:tab/>
      </w:r>
      <w:r w:rsidRPr="007706F5">
        <w:rPr>
          <w:rFonts w:ascii="Arial" w:hAnsi="Arial" w:cs="Arial"/>
          <w:b/>
          <w:sz w:val="23"/>
          <w:szCs w:val="23"/>
        </w:rPr>
        <w:tab/>
        <w:t>Ms Jill Lang</w:t>
      </w:r>
      <w:r w:rsidR="00BD4C7A" w:rsidRPr="007706F5">
        <w:rPr>
          <w:rFonts w:ascii="Arial" w:hAnsi="Arial" w:cs="Arial"/>
          <w:b/>
          <w:sz w:val="23"/>
          <w:szCs w:val="23"/>
        </w:rPr>
        <w:t xml:space="preserve"> AM</w:t>
      </w:r>
      <w:r w:rsidR="007F271C" w:rsidRPr="007706F5">
        <w:rPr>
          <w:rFonts w:ascii="Arial" w:hAnsi="Arial" w:cs="Arial"/>
          <w:b/>
          <w:sz w:val="23"/>
          <w:szCs w:val="23"/>
        </w:rPr>
        <w:tab/>
      </w:r>
      <w:r w:rsidR="00BD4C7A" w:rsidRPr="007706F5">
        <w:rPr>
          <w:rFonts w:ascii="Arial" w:hAnsi="Arial" w:cs="Arial"/>
          <w:b/>
          <w:sz w:val="23"/>
          <w:szCs w:val="23"/>
        </w:rPr>
        <w:tab/>
        <w:t xml:space="preserve">Emeritus </w:t>
      </w:r>
      <w:r w:rsidR="00A25F08" w:rsidRPr="007706F5">
        <w:rPr>
          <w:rFonts w:ascii="Arial" w:hAnsi="Arial" w:cs="Arial"/>
          <w:b/>
          <w:sz w:val="23"/>
          <w:szCs w:val="23"/>
        </w:rPr>
        <w:t xml:space="preserve">Professor </w:t>
      </w:r>
    </w:p>
    <w:p w14:paraId="081A27AF" w14:textId="12484DAE" w:rsidR="007F271C" w:rsidRPr="007706F5" w:rsidRDefault="00BD4C7A" w:rsidP="00BD4C7A">
      <w:pPr>
        <w:rPr>
          <w:rFonts w:ascii="Arial" w:hAnsi="Arial" w:cs="Arial"/>
          <w:b/>
          <w:sz w:val="23"/>
          <w:szCs w:val="23"/>
        </w:rPr>
      </w:pPr>
      <w:r w:rsidRPr="007706F5">
        <w:rPr>
          <w:rFonts w:ascii="Arial" w:hAnsi="Arial" w:cs="Arial"/>
          <w:b/>
          <w:sz w:val="23"/>
          <w:szCs w:val="23"/>
        </w:rPr>
        <w:t>Chairperson</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t xml:space="preserve">Member </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A25F08" w:rsidRPr="007706F5">
        <w:rPr>
          <w:rFonts w:ascii="Arial" w:hAnsi="Arial" w:cs="Arial"/>
          <w:b/>
          <w:sz w:val="23"/>
          <w:szCs w:val="23"/>
        </w:rPr>
        <w:t>Patrick Weller</w:t>
      </w:r>
      <w:r w:rsidRPr="007706F5">
        <w:rPr>
          <w:rFonts w:ascii="Arial" w:hAnsi="Arial" w:cs="Arial"/>
          <w:b/>
          <w:sz w:val="23"/>
          <w:szCs w:val="23"/>
        </w:rPr>
        <w:t xml:space="preserve"> AO, FASSA</w:t>
      </w:r>
    </w:p>
    <w:p w14:paraId="6E712263" w14:textId="7AD8C3E1" w:rsidR="00723181" w:rsidRPr="007706F5" w:rsidRDefault="007F271C" w:rsidP="007F271C">
      <w:pPr>
        <w:rPr>
          <w:rFonts w:ascii="Arial" w:hAnsi="Arial" w:cs="Arial"/>
          <w:b/>
          <w:sz w:val="23"/>
          <w:szCs w:val="23"/>
        </w:rPr>
      </w:pP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r w:rsidRPr="007706F5">
        <w:rPr>
          <w:rFonts w:ascii="Arial" w:hAnsi="Arial" w:cs="Arial"/>
          <w:b/>
          <w:sz w:val="23"/>
          <w:szCs w:val="23"/>
        </w:rPr>
        <w:t xml:space="preserve">Member </w:t>
      </w:r>
    </w:p>
    <w:p w14:paraId="05412A8D" w14:textId="77777777" w:rsidR="00723181" w:rsidRPr="007706F5" w:rsidRDefault="00723181">
      <w:pPr>
        <w:rPr>
          <w:rFonts w:ascii="Arial" w:hAnsi="Arial" w:cs="Arial"/>
          <w:b/>
          <w:sz w:val="23"/>
          <w:szCs w:val="23"/>
        </w:rPr>
      </w:pPr>
      <w:r w:rsidRPr="007706F5">
        <w:rPr>
          <w:rFonts w:ascii="Arial" w:hAnsi="Arial" w:cs="Arial"/>
          <w:b/>
          <w:sz w:val="23"/>
          <w:szCs w:val="23"/>
        </w:rPr>
        <w:br w:type="page"/>
      </w:r>
    </w:p>
    <w:p w14:paraId="5298A88C" w14:textId="356A5B56" w:rsidR="00723181" w:rsidRPr="007706F5" w:rsidRDefault="00723181" w:rsidP="00286F86">
      <w:pPr>
        <w:pStyle w:val="Heading1"/>
        <w:rPr>
          <w:rFonts w:ascii="Arial" w:hAnsi="Arial" w:cs="Arial"/>
        </w:rPr>
      </w:pPr>
      <w:r w:rsidRPr="007706F5">
        <w:rPr>
          <w:rFonts w:ascii="Arial" w:hAnsi="Arial" w:cs="Arial"/>
        </w:rPr>
        <w:lastRenderedPageBreak/>
        <w:t>Appendix A – Economic Indicators</w:t>
      </w:r>
    </w:p>
    <w:p w14:paraId="4586D1C2" w14:textId="52DACEDB" w:rsidR="00F46EED" w:rsidRPr="007706F5" w:rsidRDefault="00F46EED" w:rsidP="007F271C"/>
    <w:p w14:paraId="0C1C560C" w14:textId="4FD7FED7" w:rsidR="00E4501B" w:rsidRPr="007706F5" w:rsidRDefault="00E4501B" w:rsidP="00E4501B">
      <w:pPr>
        <w:keepNext/>
        <w:rPr>
          <w:rFonts w:ascii="Arial" w:eastAsiaTheme="majorEastAsia" w:hAnsi="Arial" w:cs="Arial"/>
          <w:bCs/>
          <w:color w:val="4472C4" w:themeColor="accent1"/>
          <w:sz w:val="20"/>
          <w:szCs w:val="20"/>
        </w:rPr>
      </w:pPr>
      <w:r w:rsidRPr="007706F5">
        <w:rPr>
          <w:rFonts w:ascii="Arial" w:eastAsiaTheme="majorEastAsia" w:hAnsi="Arial" w:cs="Arial"/>
          <w:bCs/>
          <w:color w:val="4472C4" w:themeColor="accent1"/>
          <w:sz w:val="20"/>
          <w:szCs w:val="20"/>
        </w:rPr>
        <w:t>Annual changes in MP base salary and other salary indices 2000–2020</w:t>
      </w:r>
      <w:r w:rsidRPr="007706F5">
        <w:rPr>
          <w:rStyle w:val="FootnoteReference"/>
          <w:rFonts w:ascii="Arial" w:hAnsi="Arial" w:cs="Arial"/>
          <w:bCs/>
          <w:color w:val="4472C4" w:themeColor="accent1"/>
          <w:sz w:val="20"/>
          <w:szCs w:val="20"/>
          <w:lang w:val="en-US"/>
        </w:rPr>
        <w:footnoteReference w:id="11"/>
      </w:r>
    </w:p>
    <w:p w14:paraId="2C584F54" w14:textId="77777777" w:rsidR="0054175F" w:rsidRPr="007706F5" w:rsidRDefault="0054175F" w:rsidP="00E4501B">
      <w:pPr>
        <w:keepNext/>
        <w:rPr>
          <w:rFonts w:ascii="Arial" w:hAnsi="Arial" w:cs="Arial"/>
          <w:b/>
          <w:bCs/>
          <w:sz w:val="20"/>
          <w:szCs w:val="20"/>
          <w:lang w:val="en-US"/>
        </w:rPr>
      </w:pPr>
    </w:p>
    <w:tbl>
      <w:tblPr>
        <w:tblW w:w="9634" w:type="dxa"/>
        <w:tblLayout w:type="fixed"/>
        <w:tblLook w:val="04A0" w:firstRow="1" w:lastRow="0" w:firstColumn="1" w:lastColumn="0" w:noHBand="0" w:noVBand="1"/>
      </w:tblPr>
      <w:tblGrid>
        <w:gridCol w:w="1474"/>
        <w:gridCol w:w="1134"/>
        <w:gridCol w:w="1498"/>
        <w:gridCol w:w="1701"/>
        <w:gridCol w:w="1276"/>
        <w:gridCol w:w="1134"/>
        <w:gridCol w:w="1417"/>
      </w:tblGrid>
      <w:tr w:rsidR="00E4501B" w:rsidRPr="007706F5" w14:paraId="008375AA"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361DD48A"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Year</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14:paraId="316F853B"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MP Base Salary</w:t>
            </w:r>
          </w:p>
        </w:tc>
        <w:tc>
          <w:tcPr>
            <w:tcW w:w="1498" w:type="dxa"/>
            <w:tcBorders>
              <w:top w:val="single" w:sz="4" w:space="0" w:color="auto"/>
              <w:left w:val="nil"/>
              <w:bottom w:val="single" w:sz="4" w:space="0" w:color="auto"/>
              <w:right w:val="single" w:sz="4" w:space="0" w:color="auto"/>
            </w:tcBorders>
            <w:shd w:val="clear" w:color="000000" w:fill="95B3D7"/>
            <w:vAlign w:val="center"/>
            <w:hideMark/>
          </w:tcPr>
          <w:p w14:paraId="1E56ECC5"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Average Weekly Earnings, Public Sector</w:t>
            </w:r>
          </w:p>
        </w:tc>
        <w:tc>
          <w:tcPr>
            <w:tcW w:w="1701" w:type="dxa"/>
            <w:tcBorders>
              <w:top w:val="single" w:sz="4" w:space="0" w:color="auto"/>
              <w:left w:val="nil"/>
              <w:bottom w:val="single" w:sz="4" w:space="0" w:color="auto"/>
              <w:right w:val="single" w:sz="4" w:space="0" w:color="auto"/>
            </w:tcBorders>
            <w:shd w:val="clear" w:color="000000" w:fill="95B3D7"/>
            <w:vAlign w:val="center"/>
            <w:hideMark/>
          </w:tcPr>
          <w:p w14:paraId="07C60E39"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Average Weekly Earnings, Private and Public Sector</w:t>
            </w:r>
          </w:p>
        </w:tc>
        <w:tc>
          <w:tcPr>
            <w:tcW w:w="1276" w:type="dxa"/>
            <w:tcBorders>
              <w:top w:val="single" w:sz="4" w:space="0" w:color="auto"/>
              <w:left w:val="nil"/>
              <w:bottom w:val="single" w:sz="4" w:space="0" w:color="auto"/>
              <w:right w:val="single" w:sz="4" w:space="0" w:color="auto"/>
            </w:tcBorders>
            <w:shd w:val="clear" w:color="000000" w:fill="95B3D7"/>
            <w:vAlign w:val="center"/>
            <w:hideMark/>
          </w:tcPr>
          <w:p w14:paraId="541C4D37"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Consumer Price Index (CPI)</w:t>
            </w:r>
          </w:p>
        </w:tc>
        <w:tc>
          <w:tcPr>
            <w:tcW w:w="1134" w:type="dxa"/>
            <w:tcBorders>
              <w:top w:val="single" w:sz="4" w:space="0" w:color="auto"/>
              <w:left w:val="nil"/>
              <w:bottom w:val="single" w:sz="4" w:space="0" w:color="auto"/>
              <w:right w:val="single" w:sz="4" w:space="0" w:color="auto"/>
            </w:tcBorders>
            <w:shd w:val="clear" w:color="000000" w:fill="95B3D7"/>
            <w:vAlign w:val="center"/>
            <w:hideMark/>
          </w:tcPr>
          <w:p w14:paraId="5CCB0CC6"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Qld Core Public Service</w:t>
            </w:r>
          </w:p>
        </w:tc>
        <w:tc>
          <w:tcPr>
            <w:tcW w:w="1417" w:type="dxa"/>
            <w:tcBorders>
              <w:top w:val="single" w:sz="4" w:space="0" w:color="auto"/>
              <w:left w:val="nil"/>
              <w:bottom w:val="single" w:sz="4" w:space="0" w:color="auto"/>
              <w:right w:val="single" w:sz="4" w:space="0" w:color="auto"/>
            </w:tcBorders>
            <w:shd w:val="clear" w:color="000000" w:fill="95B3D7"/>
            <w:vAlign w:val="center"/>
            <w:hideMark/>
          </w:tcPr>
          <w:p w14:paraId="74B5E0F1" w14:textId="77777777" w:rsidR="00E4501B" w:rsidRPr="007706F5" w:rsidRDefault="00E4501B" w:rsidP="001A48CE">
            <w:pPr>
              <w:jc w:val="center"/>
              <w:rPr>
                <w:rFonts w:ascii="Arial" w:eastAsia="Times New Roman" w:hAnsi="Arial" w:cs="Arial"/>
                <w:b/>
                <w:bCs/>
                <w:sz w:val="16"/>
                <w:szCs w:val="16"/>
              </w:rPr>
            </w:pPr>
            <w:r w:rsidRPr="007706F5">
              <w:rPr>
                <w:rFonts w:ascii="Arial" w:eastAsia="Times New Roman" w:hAnsi="Arial" w:cs="Arial"/>
                <w:b/>
                <w:bCs/>
                <w:sz w:val="16"/>
                <w:szCs w:val="16"/>
              </w:rPr>
              <w:t>Senior Executive Service (SES)</w:t>
            </w:r>
          </w:p>
        </w:tc>
      </w:tr>
      <w:tr w:rsidR="00E4501B" w:rsidRPr="007706F5" w14:paraId="12ED6A40" w14:textId="77777777" w:rsidTr="001A48CE">
        <w:trPr>
          <w:cantSplit/>
          <w:trHeight w:val="1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E45B4D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2000-01</w:t>
            </w:r>
          </w:p>
        </w:tc>
        <w:tc>
          <w:tcPr>
            <w:tcW w:w="1134" w:type="dxa"/>
            <w:tcBorders>
              <w:top w:val="nil"/>
              <w:left w:val="nil"/>
              <w:bottom w:val="single" w:sz="4" w:space="0" w:color="auto"/>
              <w:right w:val="single" w:sz="4" w:space="0" w:color="auto"/>
            </w:tcBorders>
            <w:shd w:val="clear" w:color="auto" w:fill="auto"/>
            <w:noWrap/>
            <w:vAlign w:val="center"/>
            <w:hideMark/>
          </w:tcPr>
          <w:p w14:paraId="6336FA1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3.93%</w:t>
            </w:r>
          </w:p>
        </w:tc>
        <w:tc>
          <w:tcPr>
            <w:tcW w:w="1498" w:type="dxa"/>
            <w:tcBorders>
              <w:top w:val="nil"/>
              <w:left w:val="nil"/>
              <w:bottom w:val="single" w:sz="4" w:space="0" w:color="auto"/>
              <w:right w:val="single" w:sz="4" w:space="0" w:color="auto"/>
            </w:tcBorders>
            <w:shd w:val="clear" w:color="auto" w:fill="auto"/>
            <w:noWrap/>
            <w:vAlign w:val="center"/>
            <w:hideMark/>
          </w:tcPr>
          <w:p w14:paraId="4F2517D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6.97%</w:t>
            </w:r>
          </w:p>
        </w:tc>
        <w:tc>
          <w:tcPr>
            <w:tcW w:w="1701" w:type="dxa"/>
            <w:tcBorders>
              <w:top w:val="nil"/>
              <w:left w:val="nil"/>
              <w:bottom w:val="single" w:sz="4" w:space="0" w:color="auto"/>
              <w:right w:val="single" w:sz="4" w:space="0" w:color="auto"/>
            </w:tcBorders>
            <w:shd w:val="clear" w:color="auto" w:fill="auto"/>
            <w:noWrap/>
            <w:vAlign w:val="center"/>
            <w:hideMark/>
          </w:tcPr>
          <w:p w14:paraId="5D0FE0D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4531036D"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6.15%</w:t>
            </w:r>
          </w:p>
        </w:tc>
        <w:tc>
          <w:tcPr>
            <w:tcW w:w="1134" w:type="dxa"/>
            <w:tcBorders>
              <w:top w:val="nil"/>
              <w:left w:val="nil"/>
              <w:bottom w:val="single" w:sz="4" w:space="0" w:color="auto"/>
              <w:right w:val="single" w:sz="4" w:space="0" w:color="auto"/>
            </w:tcBorders>
            <w:shd w:val="clear" w:color="auto" w:fill="auto"/>
            <w:noWrap/>
            <w:vAlign w:val="center"/>
            <w:hideMark/>
          </w:tcPr>
          <w:p w14:paraId="045D4158" w14:textId="77777777" w:rsidR="00E4501B" w:rsidRPr="007706F5" w:rsidRDefault="00E4501B" w:rsidP="001A48CE">
            <w:pPr>
              <w:jc w:val="center"/>
              <w:rPr>
                <w:rFonts w:ascii="Arial" w:eastAsia="Times New Roman"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14:paraId="08A0912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3.14%</w:t>
            </w:r>
          </w:p>
        </w:tc>
      </w:tr>
      <w:tr w:rsidR="00E4501B" w:rsidRPr="007706F5" w14:paraId="3A2BD94C"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911CE00"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2001-02</w:t>
            </w:r>
          </w:p>
        </w:tc>
        <w:tc>
          <w:tcPr>
            <w:tcW w:w="1134" w:type="dxa"/>
            <w:tcBorders>
              <w:top w:val="nil"/>
              <w:left w:val="nil"/>
              <w:bottom w:val="single" w:sz="4" w:space="0" w:color="auto"/>
              <w:right w:val="single" w:sz="4" w:space="0" w:color="auto"/>
            </w:tcBorders>
            <w:shd w:val="clear" w:color="auto" w:fill="auto"/>
            <w:noWrap/>
            <w:vAlign w:val="center"/>
            <w:hideMark/>
          </w:tcPr>
          <w:p w14:paraId="7B18AB0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3.37%</w:t>
            </w:r>
          </w:p>
        </w:tc>
        <w:tc>
          <w:tcPr>
            <w:tcW w:w="1498" w:type="dxa"/>
            <w:tcBorders>
              <w:top w:val="nil"/>
              <w:left w:val="nil"/>
              <w:bottom w:val="single" w:sz="4" w:space="0" w:color="auto"/>
              <w:right w:val="single" w:sz="4" w:space="0" w:color="auto"/>
            </w:tcBorders>
            <w:shd w:val="clear" w:color="auto" w:fill="auto"/>
            <w:noWrap/>
            <w:vAlign w:val="center"/>
            <w:hideMark/>
          </w:tcPr>
          <w:p w14:paraId="7C66A50D"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4.18%</w:t>
            </w:r>
          </w:p>
        </w:tc>
        <w:tc>
          <w:tcPr>
            <w:tcW w:w="1701" w:type="dxa"/>
            <w:tcBorders>
              <w:top w:val="nil"/>
              <w:left w:val="nil"/>
              <w:bottom w:val="single" w:sz="4" w:space="0" w:color="auto"/>
              <w:right w:val="single" w:sz="4" w:space="0" w:color="auto"/>
            </w:tcBorders>
            <w:shd w:val="clear" w:color="auto" w:fill="auto"/>
            <w:noWrap/>
            <w:vAlign w:val="center"/>
            <w:hideMark/>
          </w:tcPr>
          <w:p w14:paraId="08D6DED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3.79%</w:t>
            </w:r>
          </w:p>
        </w:tc>
        <w:tc>
          <w:tcPr>
            <w:tcW w:w="1276" w:type="dxa"/>
            <w:tcBorders>
              <w:top w:val="nil"/>
              <w:left w:val="nil"/>
              <w:bottom w:val="single" w:sz="4" w:space="0" w:color="auto"/>
              <w:right w:val="single" w:sz="4" w:space="0" w:color="auto"/>
            </w:tcBorders>
            <w:shd w:val="clear" w:color="auto" w:fill="auto"/>
            <w:noWrap/>
            <w:vAlign w:val="center"/>
            <w:hideMark/>
          </w:tcPr>
          <w:p w14:paraId="362F55A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3.03%</w:t>
            </w:r>
          </w:p>
        </w:tc>
        <w:tc>
          <w:tcPr>
            <w:tcW w:w="1134" w:type="dxa"/>
            <w:tcBorders>
              <w:top w:val="nil"/>
              <w:left w:val="nil"/>
              <w:bottom w:val="single" w:sz="4" w:space="0" w:color="auto"/>
              <w:right w:val="single" w:sz="4" w:space="0" w:color="auto"/>
            </w:tcBorders>
            <w:shd w:val="clear" w:color="auto" w:fill="auto"/>
            <w:noWrap/>
            <w:vAlign w:val="center"/>
            <w:hideMark/>
          </w:tcPr>
          <w:p w14:paraId="50F53A43" w14:textId="77777777" w:rsidR="00E4501B" w:rsidRPr="007706F5" w:rsidRDefault="00E4501B" w:rsidP="001A48CE">
            <w:pPr>
              <w:jc w:val="center"/>
              <w:rPr>
                <w:rFonts w:ascii="Arial" w:eastAsia="Times New Roman"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14:paraId="6AC8F35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3.13%</w:t>
            </w:r>
          </w:p>
        </w:tc>
      </w:tr>
      <w:tr w:rsidR="00E4501B" w:rsidRPr="007706F5" w14:paraId="4CE45671"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F3C152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2002-03</w:t>
            </w:r>
          </w:p>
        </w:tc>
        <w:tc>
          <w:tcPr>
            <w:tcW w:w="1134" w:type="dxa"/>
            <w:tcBorders>
              <w:top w:val="nil"/>
              <w:left w:val="nil"/>
              <w:bottom w:val="single" w:sz="4" w:space="0" w:color="auto"/>
              <w:right w:val="single" w:sz="4" w:space="0" w:color="auto"/>
            </w:tcBorders>
            <w:shd w:val="clear" w:color="auto" w:fill="auto"/>
            <w:noWrap/>
            <w:vAlign w:val="center"/>
            <w:hideMark/>
          </w:tcPr>
          <w:p w14:paraId="7F0412C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4.03%</w:t>
            </w:r>
          </w:p>
        </w:tc>
        <w:tc>
          <w:tcPr>
            <w:tcW w:w="1498" w:type="dxa"/>
            <w:tcBorders>
              <w:top w:val="nil"/>
              <w:left w:val="nil"/>
              <w:bottom w:val="single" w:sz="4" w:space="0" w:color="auto"/>
              <w:right w:val="single" w:sz="4" w:space="0" w:color="auto"/>
            </w:tcBorders>
            <w:shd w:val="clear" w:color="auto" w:fill="auto"/>
            <w:noWrap/>
            <w:vAlign w:val="center"/>
            <w:hideMark/>
          </w:tcPr>
          <w:p w14:paraId="5A51D43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3.19%</w:t>
            </w:r>
          </w:p>
        </w:tc>
        <w:tc>
          <w:tcPr>
            <w:tcW w:w="1701" w:type="dxa"/>
            <w:tcBorders>
              <w:top w:val="nil"/>
              <w:left w:val="nil"/>
              <w:bottom w:val="single" w:sz="4" w:space="0" w:color="auto"/>
              <w:right w:val="single" w:sz="4" w:space="0" w:color="auto"/>
            </w:tcBorders>
            <w:shd w:val="clear" w:color="auto" w:fill="auto"/>
            <w:noWrap/>
            <w:vAlign w:val="center"/>
            <w:hideMark/>
          </w:tcPr>
          <w:p w14:paraId="1047B73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5.22%</w:t>
            </w:r>
          </w:p>
        </w:tc>
        <w:tc>
          <w:tcPr>
            <w:tcW w:w="1276" w:type="dxa"/>
            <w:tcBorders>
              <w:top w:val="nil"/>
              <w:left w:val="nil"/>
              <w:bottom w:val="single" w:sz="4" w:space="0" w:color="auto"/>
              <w:right w:val="single" w:sz="4" w:space="0" w:color="auto"/>
            </w:tcBorders>
            <w:shd w:val="clear" w:color="auto" w:fill="auto"/>
            <w:noWrap/>
            <w:vAlign w:val="center"/>
            <w:hideMark/>
          </w:tcPr>
          <w:p w14:paraId="2A4CCCB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2.68%</w:t>
            </w:r>
          </w:p>
        </w:tc>
        <w:tc>
          <w:tcPr>
            <w:tcW w:w="1134" w:type="dxa"/>
            <w:tcBorders>
              <w:top w:val="nil"/>
              <w:left w:val="nil"/>
              <w:bottom w:val="single" w:sz="4" w:space="0" w:color="auto"/>
              <w:right w:val="single" w:sz="4" w:space="0" w:color="auto"/>
            </w:tcBorders>
            <w:shd w:val="clear" w:color="auto" w:fill="auto"/>
            <w:noWrap/>
            <w:vAlign w:val="center"/>
            <w:hideMark/>
          </w:tcPr>
          <w:p w14:paraId="5F574FFE" w14:textId="77777777" w:rsidR="00E4501B" w:rsidRPr="007706F5" w:rsidRDefault="00E4501B" w:rsidP="001A48CE">
            <w:pPr>
              <w:jc w:val="center"/>
              <w:rPr>
                <w:rFonts w:ascii="Arial" w:eastAsia="Times New Roman" w:hAnsi="Arial" w:cs="Arial"/>
                <w:sz w:val="16"/>
                <w:szCs w:val="16"/>
              </w:rPr>
            </w:pPr>
          </w:p>
        </w:tc>
        <w:tc>
          <w:tcPr>
            <w:tcW w:w="1417" w:type="dxa"/>
            <w:tcBorders>
              <w:top w:val="nil"/>
              <w:left w:val="nil"/>
              <w:bottom w:val="single" w:sz="4" w:space="0" w:color="auto"/>
              <w:right w:val="single" w:sz="4" w:space="0" w:color="auto"/>
            </w:tcBorders>
            <w:shd w:val="clear" w:color="auto" w:fill="auto"/>
            <w:noWrap/>
            <w:vAlign w:val="center"/>
            <w:hideMark/>
          </w:tcPr>
          <w:p w14:paraId="33A49B3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3.97%</w:t>
            </w:r>
          </w:p>
        </w:tc>
      </w:tr>
      <w:tr w:rsidR="00E4501B" w:rsidRPr="007706F5" w14:paraId="7C576639"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ED4FA60"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2003-04</w:t>
            </w:r>
          </w:p>
        </w:tc>
        <w:tc>
          <w:tcPr>
            <w:tcW w:w="1134" w:type="dxa"/>
            <w:tcBorders>
              <w:top w:val="nil"/>
              <w:left w:val="nil"/>
              <w:bottom w:val="single" w:sz="4" w:space="0" w:color="auto"/>
              <w:right w:val="single" w:sz="4" w:space="0" w:color="auto"/>
            </w:tcBorders>
            <w:shd w:val="clear" w:color="auto" w:fill="auto"/>
            <w:noWrap/>
            <w:vAlign w:val="center"/>
            <w:hideMark/>
          </w:tcPr>
          <w:p w14:paraId="7B96201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3.92%</w:t>
            </w:r>
          </w:p>
        </w:tc>
        <w:tc>
          <w:tcPr>
            <w:tcW w:w="1498" w:type="dxa"/>
            <w:tcBorders>
              <w:top w:val="nil"/>
              <w:left w:val="nil"/>
              <w:bottom w:val="single" w:sz="4" w:space="0" w:color="auto"/>
              <w:right w:val="single" w:sz="4" w:space="0" w:color="auto"/>
            </w:tcBorders>
            <w:shd w:val="clear" w:color="auto" w:fill="auto"/>
            <w:noWrap/>
            <w:vAlign w:val="center"/>
            <w:hideMark/>
          </w:tcPr>
          <w:p w14:paraId="495A363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4.44%</w:t>
            </w:r>
          </w:p>
        </w:tc>
        <w:tc>
          <w:tcPr>
            <w:tcW w:w="1701" w:type="dxa"/>
            <w:tcBorders>
              <w:top w:val="nil"/>
              <w:left w:val="nil"/>
              <w:bottom w:val="single" w:sz="4" w:space="0" w:color="auto"/>
              <w:right w:val="single" w:sz="4" w:space="0" w:color="auto"/>
            </w:tcBorders>
            <w:shd w:val="clear" w:color="auto" w:fill="auto"/>
            <w:noWrap/>
            <w:vAlign w:val="center"/>
            <w:hideMark/>
          </w:tcPr>
          <w:p w14:paraId="24DF0C2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4.95%</w:t>
            </w:r>
          </w:p>
        </w:tc>
        <w:tc>
          <w:tcPr>
            <w:tcW w:w="1276" w:type="dxa"/>
            <w:tcBorders>
              <w:top w:val="nil"/>
              <w:left w:val="nil"/>
              <w:bottom w:val="single" w:sz="4" w:space="0" w:color="auto"/>
              <w:right w:val="single" w:sz="4" w:space="0" w:color="auto"/>
            </w:tcBorders>
            <w:shd w:val="clear" w:color="auto" w:fill="auto"/>
            <w:noWrap/>
            <w:vAlign w:val="center"/>
            <w:hideMark/>
          </w:tcPr>
          <w:p w14:paraId="1BE175F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3.13%</w:t>
            </w:r>
          </w:p>
        </w:tc>
        <w:tc>
          <w:tcPr>
            <w:tcW w:w="1134" w:type="dxa"/>
            <w:tcBorders>
              <w:top w:val="nil"/>
              <w:left w:val="nil"/>
              <w:bottom w:val="single" w:sz="4" w:space="0" w:color="auto"/>
              <w:right w:val="single" w:sz="4" w:space="0" w:color="auto"/>
            </w:tcBorders>
            <w:shd w:val="clear" w:color="auto" w:fill="auto"/>
            <w:noWrap/>
            <w:vAlign w:val="center"/>
            <w:hideMark/>
          </w:tcPr>
          <w:p w14:paraId="3377DACD"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3.80%</w:t>
            </w:r>
          </w:p>
        </w:tc>
        <w:tc>
          <w:tcPr>
            <w:tcW w:w="1417" w:type="dxa"/>
            <w:tcBorders>
              <w:top w:val="nil"/>
              <w:left w:val="nil"/>
              <w:bottom w:val="single" w:sz="4" w:space="0" w:color="auto"/>
              <w:right w:val="single" w:sz="4" w:space="0" w:color="auto"/>
            </w:tcBorders>
            <w:shd w:val="clear" w:color="auto" w:fill="auto"/>
            <w:noWrap/>
            <w:vAlign w:val="center"/>
            <w:hideMark/>
          </w:tcPr>
          <w:p w14:paraId="1811C24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3.96%</w:t>
            </w:r>
          </w:p>
        </w:tc>
      </w:tr>
      <w:tr w:rsidR="00E4501B" w:rsidRPr="007706F5" w14:paraId="2811EF6A"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FF994A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2004-05</w:t>
            </w:r>
          </w:p>
        </w:tc>
        <w:tc>
          <w:tcPr>
            <w:tcW w:w="1134" w:type="dxa"/>
            <w:tcBorders>
              <w:top w:val="nil"/>
              <w:left w:val="nil"/>
              <w:bottom w:val="single" w:sz="4" w:space="0" w:color="auto"/>
              <w:right w:val="single" w:sz="4" w:space="0" w:color="auto"/>
            </w:tcBorders>
            <w:shd w:val="clear" w:color="auto" w:fill="auto"/>
            <w:noWrap/>
            <w:vAlign w:val="center"/>
            <w:hideMark/>
          </w:tcPr>
          <w:p w14:paraId="64C81BD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4.12%</w:t>
            </w:r>
          </w:p>
        </w:tc>
        <w:tc>
          <w:tcPr>
            <w:tcW w:w="1498" w:type="dxa"/>
            <w:tcBorders>
              <w:top w:val="nil"/>
              <w:left w:val="nil"/>
              <w:bottom w:val="single" w:sz="4" w:space="0" w:color="auto"/>
              <w:right w:val="single" w:sz="4" w:space="0" w:color="auto"/>
            </w:tcBorders>
            <w:shd w:val="clear" w:color="auto" w:fill="auto"/>
            <w:noWrap/>
            <w:vAlign w:val="center"/>
            <w:hideMark/>
          </w:tcPr>
          <w:p w14:paraId="6BE0CCC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4.61%</w:t>
            </w:r>
          </w:p>
        </w:tc>
        <w:tc>
          <w:tcPr>
            <w:tcW w:w="1701" w:type="dxa"/>
            <w:tcBorders>
              <w:top w:val="nil"/>
              <w:left w:val="nil"/>
              <w:bottom w:val="single" w:sz="4" w:space="0" w:color="auto"/>
              <w:right w:val="single" w:sz="4" w:space="0" w:color="auto"/>
            </w:tcBorders>
            <w:shd w:val="clear" w:color="auto" w:fill="auto"/>
            <w:noWrap/>
            <w:vAlign w:val="center"/>
            <w:hideMark/>
          </w:tcPr>
          <w:p w14:paraId="2A1D3860"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7.41%</w:t>
            </w:r>
          </w:p>
        </w:tc>
        <w:tc>
          <w:tcPr>
            <w:tcW w:w="1276" w:type="dxa"/>
            <w:tcBorders>
              <w:top w:val="nil"/>
              <w:left w:val="nil"/>
              <w:bottom w:val="single" w:sz="4" w:space="0" w:color="auto"/>
              <w:right w:val="single" w:sz="4" w:space="0" w:color="auto"/>
            </w:tcBorders>
            <w:shd w:val="clear" w:color="auto" w:fill="auto"/>
            <w:noWrap/>
            <w:vAlign w:val="center"/>
            <w:hideMark/>
          </w:tcPr>
          <w:p w14:paraId="3E08905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699749A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3.80%</w:t>
            </w:r>
          </w:p>
        </w:tc>
        <w:tc>
          <w:tcPr>
            <w:tcW w:w="1417" w:type="dxa"/>
            <w:tcBorders>
              <w:top w:val="nil"/>
              <w:left w:val="nil"/>
              <w:bottom w:val="single" w:sz="4" w:space="0" w:color="auto"/>
              <w:right w:val="single" w:sz="4" w:space="0" w:color="auto"/>
            </w:tcBorders>
            <w:shd w:val="clear" w:color="auto" w:fill="auto"/>
            <w:noWrap/>
            <w:vAlign w:val="center"/>
            <w:hideMark/>
          </w:tcPr>
          <w:p w14:paraId="6BF16DE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r>
      <w:tr w:rsidR="00E4501B" w:rsidRPr="007706F5" w14:paraId="6DA0E43E"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31A8DD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2005-06</w:t>
            </w:r>
          </w:p>
        </w:tc>
        <w:tc>
          <w:tcPr>
            <w:tcW w:w="1134" w:type="dxa"/>
            <w:tcBorders>
              <w:top w:val="nil"/>
              <w:left w:val="nil"/>
              <w:bottom w:val="single" w:sz="4" w:space="0" w:color="auto"/>
              <w:right w:val="single" w:sz="4" w:space="0" w:color="auto"/>
            </w:tcBorders>
            <w:shd w:val="clear" w:color="auto" w:fill="auto"/>
            <w:noWrap/>
            <w:vAlign w:val="center"/>
            <w:hideMark/>
          </w:tcPr>
          <w:p w14:paraId="3CC09D9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7.05%</w:t>
            </w:r>
          </w:p>
        </w:tc>
        <w:tc>
          <w:tcPr>
            <w:tcW w:w="1498" w:type="dxa"/>
            <w:tcBorders>
              <w:top w:val="nil"/>
              <w:left w:val="nil"/>
              <w:bottom w:val="single" w:sz="4" w:space="0" w:color="auto"/>
              <w:right w:val="single" w:sz="4" w:space="0" w:color="auto"/>
            </w:tcBorders>
            <w:shd w:val="clear" w:color="auto" w:fill="auto"/>
            <w:noWrap/>
            <w:vAlign w:val="center"/>
            <w:hideMark/>
          </w:tcPr>
          <w:p w14:paraId="446A88F1"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5.42%</w:t>
            </w:r>
          </w:p>
        </w:tc>
        <w:tc>
          <w:tcPr>
            <w:tcW w:w="1701" w:type="dxa"/>
            <w:tcBorders>
              <w:top w:val="nil"/>
              <w:left w:val="nil"/>
              <w:bottom w:val="single" w:sz="4" w:space="0" w:color="auto"/>
              <w:right w:val="single" w:sz="4" w:space="0" w:color="auto"/>
            </w:tcBorders>
            <w:shd w:val="clear" w:color="auto" w:fill="auto"/>
            <w:noWrap/>
            <w:vAlign w:val="center"/>
            <w:hideMark/>
          </w:tcPr>
          <w:p w14:paraId="46144C4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13BF51F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4.19%</w:t>
            </w:r>
          </w:p>
        </w:tc>
        <w:tc>
          <w:tcPr>
            <w:tcW w:w="1134" w:type="dxa"/>
            <w:tcBorders>
              <w:top w:val="nil"/>
              <w:left w:val="nil"/>
              <w:bottom w:val="single" w:sz="4" w:space="0" w:color="auto"/>
              <w:right w:val="single" w:sz="4" w:space="0" w:color="auto"/>
            </w:tcBorders>
            <w:shd w:val="clear" w:color="auto" w:fill="auto"/>
            <w:noWrap/>
            <w:vAlign w:val="center"/>
            <w:hideMark/>
          </w:tcPr>
          <w:p w14:paraId="2DB8CC4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258154D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3.95%</w:t>
            </w:r>
          </w:p>
        </w:tc>
      </w:tr>
      <w:tr w:rsidR="00E4501B" w:rsidRPr="007706F5" w14:paraId="3BFA0C81"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0610F71"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2006-07</w:t>
            </w:r>
          </w:p>
        </w:tc>
        <w:tc>
          <w:tcPr>
            <w:tcW w:w="1134" w:type="dxa"/>
            <w:tcBorders>
              <w:top w:val="nil"/>
              <w:left w:val="nil"/>
              <w:bottom w:val="single" w:sz="4" w:space="0" w:color="auto"/>
              <w:right w:val="single" w:sz="4" w:space="0" w:color="auto"/>
            </w:tcBorders>
            <w:shd w:val="clear" w:color="auto" w:fill="auto"/>
            <w:noWrap/>
            <w:vAlign w:val="center"/>
            <w:hideMark/>
          </w:tcPr>
          <w:p w14:paraId="369A31B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6.85%</w:t>
            </w:r>
          </w:p>
        </w:tc>
        <w:tc>
          <w:tcPr>
            <w:tcW w:w="1498" w:type="dxa"/>
            <w:tcBorders>
              <w:top w:val="nil"/>
              <w:left w:val="nil"/>
              <w:bottom w:val="single" w:sz="4" w:space="0" w:color="auto"/>
              <w:right w:val="single" w:sz="4" w:space="0" w:color="auto"/>
            </w:tcBorders>
            <w:shd w:val="clear" w:color="auto" w:fill="auto"/>
            <w:noWrap/>
            <w:vAlign w:val="center"/>
            <w:hideMark/>
          </w:tcPr>
          <w:p w14:paraId="54717D1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4.54%</w:t>
            </w:r>
          </w:p>
        </w:tc>
        <w:tc>
          <w:tcPr>
            <w:tcW w:w="1701" w:type="dxa"/>
            <w:tcBorders>
              <w:top w:val="nil"/>
              <w:left w:val="nil"/>
              <w:bottom w:val="single" w:sz="4" w:space="0" w:color="auto"/>
              <w:right w:val="single" w:sz="4" w:space="0" w:color="auto"/>
            </w:tcBorders>
            <w:shd w:val="clear" w:color="auto" w:fill="auto"/>
            <w:noWrap/>
            <w:vAlign w:val="center"/>
            <w:hideMark/>
          </w:tcPr>
          <w:p w14:paraId="20D8A5C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5.65%</w:t>
            </w:r>
          </w:p>
        </w:tc>
        <w:tc>
          <w:tcPr>
            <w:tcW w:w="1276" w:type="dxa"/>
            <w:tcBorders>
              <w:top w:val="nil"/>
              <w:left w:val="nil"/>
              <w:bottom w:val="single" w:sz="4" w:space="0" w:color="auto"/>
              <w:right w:val="single" w:sz="4" w:space="0" w:color="auto"/>
            </w:tcBorders>
            <w:shd w:val="clear" w:color="auto" w:fill="auto"/>
            <w:noWrap/>
            <w:vAlign w:val="center"/>
            <w:hideMark/>
          </w:tcPr>
          <w:p w14:paraId="325BEB7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B6585A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50C54BC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8.16%</w:t>
            </w:r>
          </w:p>
        </w:tc>
      </w:tr>
      <w:tr w:rsidR="00E4501B" w:rsidRPr="007706F5" w14:paraId="0522524F"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2BE959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2007-08</w:t>
            </w:r>
          </w:p>
        </w:tc>
        <w:tc>
          <w:tcPr>
            <w:tcW w:w="1134" w:type="dxa"/>
            <w:tcBorders>
              <w:top w:val="nil"/>
              <w:left w:val="nil"/>
              <w:bottom w:val="single" w:sz="4" w:space="0" w:color="auto"/>
              <w:right w:val="single" w:sz="4" w:space="0" w:color="auto"/>
            </w:tcBorders>
            <w:shd w:val="clear" w:color="auto" w:fill="auto"/>
            <w:noWrap/>
            <w:vAlign w:val="center"/>
            <w:hideMark/>
          </w:tcPr>
          <w:p w14:paraId="647CBA4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2004525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3.99%</w:t>
            </w:r>
          </w:p>
        </w:tc>
        <w:tc>
          <w:tcPr>
            <w:tcW w:w="1701" w:type="dxa"/>
            <w:tcBorders>
              <w:top w:val="nil"/>
              <w:left w:val="nil"/>
              <w:bottom w:val="single" w:sz="4" w:space="0" w:color="auto"/>
              <w:right w:val="single" w:sz="4" w:space="0" w:color="auto"/>
            </w:tcBorders>
            <w:shd w:val="clear" w:color="auto" w:fill="auto"/>
            <w:noWrap/>
            <w:vAlign w:val="center"/>
            <w:hideMark/>
          </w:tcPr>
          <w:p w14:paraId="60D8158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5.57%</w:t>
            </w:r>
          </w:p>
        </w:tc>
        <w:tc>
          <w:tcPr>
            <w:tcW w:w="1276" w:type="dxa"/>
            <w:tcBorders>
              <w:top w:val="nil"/>
              <w:left w:val="nil"/>
              <w:bottom w:val="single" w:sz="4" w:space="0" w:color="auto"/>
              <w:right w:val="single" w:sz="4" w:space="0" w:color="auto"/>
            </w:tcBorders>
            <w:shd w:val="clear" w:color="auto" w:fill="auto"/>
            <w:noWrap/>
            <w:vAlign w:val="center"/>
            <w:hideMark/>
          </w:tcPr>
          <w:p w14:paraId="5CBE6C7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10536F8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6BE9D87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r>
      <w:tr w:rsidR="00E4501B" w:rsidRPr="007706F5" w14:paraId="262083B5"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0BC449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2008-09</w:t>
            </w:r>
          </w:p>
        </w:tc>
        <w:tc>
          <w:tcPr>
            <w:tcW w:w="1134" w:type="dxa"/>
            <w:tcBorders>
              <w:top w:val="nil"/>
              <w:left w:val="nil"/>
              <w:bottom w:val="single" w:sz="4" w:space="0" w:color="auto"/>
              <w:right w:val="single" w:sz="4" w:space="0" w:color="auto"/>
            </w:tcBorders>
            <w:shd w:val="clear" w:color="auto" w:fill="auto"/>
            <w:noWrap/>
            <w:vAlign w:val="center"/>
            <w:hideMark/>
          </w:tcPr>
          <w:p w14:paraId="21A02EEC"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1934D3F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4.96%</w:t>
            </w:r>
          </w:p>
        </w:tc>
        <w:tc>
          <w:tcPr>
            <w:tcW w:w="1701" w:type="dxa"/>
            <w:tcBorders>
              <w:top w:val="nil"/>
              <w:left w:val="nil"/>
              <w:bottom w:val="single" w:sz="4" w:space="0" w:color="auto"/>
              <w:right w:val="single" w:sz="4" w:space="0" w:color="auto"/>
            </w:tcBorders>
            <w:shd w:val="clear" w:color="auto" w:fill="auto"/>
            <w:noWrap/>
            <w:vAlign w:val="center"/>
            <w:hideMark/>
          </w:tcPr>
          <w:p w14:paraId="1AB3DE4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016425B0"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1.98%</w:t>
            </w:r>
          </w:p>
        </w:tc>
        <w:tc>
          <w:tcPr>
            <w:tcW w:w="1134" w:type="dxa"/>
            <w:tcBorders>
              <w:top w:val="nil"/>
              <w:left w:val="nil"/>
              <w:bottom w:val="single" w:sz="4" w:space="0" w:color="auto"/>
              <w:right w:val="single" w:sz="4" w:space="0" w:color="auto"/>
            </w:tcBorders>
            <w:shd w:val="clear" w:color="auto" w:fill="auto"/>
            <w:noWrap/>
            <w:vAlign w:val="center"/>
            <w:hideMark/>
          </w:tcPr>
          <w:p w14:paraId="7A06921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4.50%</w:t>
            </w:r>
          </w:p>
        </w:tc>
        <w:tc>
          <w:tcPr>
            <w:tcW w:w="1417" w:type="dxa"/>
            <w:tcBorders>
              <w:top w:val="nil"/>
              <w:left w:val="nil"/>
              <w:bottom w:val="single" w:sz="4" w:space="0" w:color="auto"/>
              <w:right w:val="single" w:sz="4" w:space="0" w:color="auto"/>
            </w:tcBorders>
            <w:shd w:val="clear" w:color="auto" w:fill="auto"/>
            <w:noWrap/>
            <w:vAlign w:val="center"/>
            <w:hideMark/>
          </w:tcPr>
          <w:p w14:paraId="6920B08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r>
      <w:tr w:rsidR="00E4501B" w:rsidRPr="007706F5" w14:paraId="43E3FB1A"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86982B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2009-10</w:t>
            </w:r>
          </w:p>
        </w:tc>
        <w:tc>
          <w:tcPr>
            <w:tcW w:w="1134" w:type="dxa"/>
            <w:tcBorders>
              <w:top w:val="nil"/>
              <w:left w:val="nil"/>
              <w:bottom w:val="single" w:sz="4" w:space="0" w:color="auto"/>
              <w:right w:val="single" w:sz="4" w:space="0" w:color="auto"/>
            </w:tcBorders>
            <w:shd w:val="clear" w:color="auto" w:fill="auto"/>
            <w:noWrap/>
            <w:vAlign w:val="center"/>
            <w:hideMark/>
          </w:tcPr>
          <w:p w14:paraId="12C920D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3.14%</w:t>
            </w:r>
          </w:p>
        </w:tc>
        <w:tc>
          <w:tcPr>
            <w:tcW w:w="1498" w:type="dxa"/>
            <w:tcBorders>
              <w:top w:val="nil"/>
              <w:left w:val="nil"/>
              <w:bottom w:val="single" w:sz="4" w:space="0" w:color="auto"/>
              <w:right w:val="single" w:sz="4" w:space="0" w:color="auto"/>
            </w:tcBorders>
            <w:shd w:val="clear" w:color="auto" w:fill="auto"/>
            <w:noWrap/>
            <w:vAlign w:val="center"/>
            <w:hideMark/>
          </w:tcPr>
          <w:p w14:paraId="48FCC67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5.17%</w:t>
            </w:r>
          </w:p>
        </w:tc>
        <w:tc>
          <w:tcPr>
            <w:tcW w:w="1701" w:type="dxa"/>
            <w:tcBorders>
              <w:top w:val="nil"/>
              <w:left w:val="nil"/>
              <w:bottom w:val="single" w:sz="4" w:space="0" w:color="auto"/>
              <w:right w:val="single" w:sz="4" w:space="0" w:color="auto"/>
            </w:tcBorders>
            <w:shd w:val="clear" w:color="auto" w:fill="auto"/>
            <w:noWrap/>
            <w:vAlign w:val="center"/>
            <w:hideMark/>
          </w:tcPr>
          <w:p w14:paraId="2455D90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6.05%</w:t>
            </w:r>
          </w:p>
        </w:tc>
        <w:tc>
          <w:tcPr>
            <w:tcW w:w="1276" w:type="dxa"/>
            <w:tcBorders>
              <w:top w:val="nil"/>
              <w:left w:val="nil"/>
              <w:bottom w:val="single" w:sz="4" w:space="0" w:color="auto"/>
              <w:right w:val="single" w:sz="4" w:space="0" w:color="auto"/>
            </w:tcBorders>
            <w:shd w:val="clear" w:color="auto" w:fill="auto"/>
            <w:noWrap/>
            <w:vAlign w:val="center"/>
            <w:hideMark/>
          </w:tcPr>
          <w:p w14:paraId="0C74DF8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7AB0180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5096CA8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r>
      <w:tr w:rsidR="00E4501B" w:rsidRPr="007706F5" w14:paraId="63715E7D"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C24E36C"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2010-11</w:t>
            </w:r>
          </w:p>
        </w:tc>
        <w:tc>
          <w:tcPr>
            <w:tcW w:w="1134" w:type="dxa"/>
            <w:tcBorders>
              <w:top w:val="nil"/>
              <w:left w:val="nil"/>
              <w:bottom w:val="single" w:sz="4" w:space="0" w:color="auto"/>
              <w:right w:val="single" w:sz="4" w:space="0" w:color="auto"/>
            </w:tcBorders>
            <w:shd w:val="clear" w:color="auto" w:fill="auto"/>
            <w:noWrap/>
            <w:vAlign w:val="center"/>
            <w:hideMark/>
          </w:tcPr>
          <w:p w14:paraId="4E356AF1"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c>
          <w:tcPr>
            <w:tcW w:w="1498" w:type="dxa"/>
            <w:tcBorders>
              <w:top w:val="nil"/>
              <w:left w:val="nil"/>
              <w:bottom w:val="single" w:sz="4" w:space="0" w:color="auto"/>
              <w:right w:val="single" w:sz="4" w:space="0" w:color="auto"/>
            </w:tcBorders>
            <w:shd w:val="clear" w:color="auto" w:fill="auto"/>
            <w:noWrap/>
            <w:vAlign w:val="center"/>
            <w:hideMark/>
          </w:tcPr>
          <w:p w14:paraId="72548F0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5.12%</w:t>
            </w:r>
          </w:p>
        </w:tc>
        <w:tc>
          <w:tcPr>
            <w:tcW w:w="1701" w:type="dxa"/>
            <w:tcBorders>
              <w:top w:val="nil"/>
              <w:left w:val="nil"/>
              <w:bottom w:val="single" w:sz="4" w:space="0" w:color="auto"/>
              <w:right w:val="single" w:sz="4" w:space="0" w:color="auto"/>
            </w:tcBorders>
            <w:shd w:val="clear" w:color="auto" w:fill="auto"/>
            <w:noWrap/>
            <w:vAlign w:val="center"/>
            <w:hideMark/>
          </w:tcPr>
          <w:p w14:paraId="31007DA0"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4.23%</w:t>
            </w:r>
          </w:p>
        </w:tc>
        <w:tc>
          <w:tcPr>
            <w:tcW w:w="1276" w:type="dxa"/>
            <w:tcBorders>
              <w:top w:val="nil"/>
              <w:left w:val="nil"/>
              <w:bottom w:val="single" w:sz="4" w:space="0" w:color="auto"/>
              <w:right w:val="single" w:sz="4" w:space="0" w:color="auto"/>
            </w:tcBorders>
            <w:shd w:val="clear" w:color="auto" w:fill="auto"/>
            <w:noWrap/>
            <w:vAlign w:val="center"/>
            <w:hideMark/>
          </w:tcPr>
          <w:p w14:paraId="7AE03ADD"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3.86%</w:t>
            </w:r>
          </w:p>
        </w:tc>
        <w:tc>
          <w:tcPr>
            <w:tcW w:w="1134" w:type="dxa"/>
            <w:tcBorders>
              <w:top w:val="nil"/>
              <w:left w:val="nil"/>
              <w:bottom w:val="single" w:sz="4" w:space="0" w:color="auto"/>
              <w:right w:val="single" w:sz="4" w:space="0" w:color="auto"/>
            </w:tcBorders>
            <w:shd w:val="clear" w:color="auto" w:fill="auto"/>
            <w:noWrap/>
            <w:vAlign w:val="center"/>
            <w:hideMark/>
          </w:tcPr>
          <w:p w14:paraId="073F250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C7C310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r>
      <w:tr w:rsidR="00E4501B" w:rsidRPr="007706F5" w14:paraId="566CDC86"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F42BAC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2011-12</w:t>
            </w:r>
          </w:p>
        </w:tc>
        <w:tc>
          <w:tcPr>
            <w:tcW w:w="1134" w:type="dxa"/>
            <w:tcBorders>
              <w:top w:val="nil"/>
              <w:left w:val="nil"/>
              <w:bottom w:val="single" w:sz="4" w:space="0" w:color="auto"/>
              <w:right w:val="single" w:sz="4" w:space="0" w:color="auto"/>
            </w:tcBorders>
            <w:shd w:val="clear" w:color="auto" w:fill="auto"/>
            <w:noWrap/>
            <w:vAlign w:val="center"/>
            <w:hideMark/>
          </w:tcPr>
          <w:p w14:paraId="0E0518B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c>
          <w:tcPr>
            <w:tcW w:w="1498" w:type="dxa"/>
            <w:tcBorders>
              <w:top w:val="nil"/>
              <w:left w:val="nil"/>
              <w:bottom w:val="single" w:sz="4" w:space="0" w:color="auto"/>
              <w:right w:val="single" w:sz="4" w:space="0" w:color="auto"/>
            </w:tcBorders>
            <w:shd w:val="clear" w:color="auto" w:fill="auto"/>
            <w:noWrap/>
            <w:vAlign w:val="center"/>
            <w:hideMark/>
          </w:tcPr>
          <w:p w14:paraId="749156C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4.15%</w:t>
            </w:r>
          </w:p>
        </w:tc>
        <w:tc>
          <w:tcPr>
            <w:tcW w:w="1701" w:type="dxa"/>
            <w:tcBorders>
              <w:top w:val="nil"/>
              <w:left w:val="nil"/>
              <w:bottom w:val="single" w:sz="4" w:space="0" w:color="auto"/>
              <w:right w:val="single" w:sz="4" w:space="0" w:color="auto"/>
            </w:tcBorders>
            <w:shd w:val="clear" w:color="auto" w:fill="auto"/>
            <w:noWrap/>
            <w:vAlign w:val="center"/>
            <w:hideMark/>
          </w:tcPr>
          <w:p w14:paraId="06BB02A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3.77%</w:t>
            </w:r>
          </w:p>
        </w:tc>
        <w:tc>
          <w:tcPr>
            <w:tcW w:w="1276" w:type="dxa"/>
            <w:tcBorders>
              <w:top w:val="nil"/>
              <w:left w:val="nil"/>
              <w:bottom w:val="single" w:sz="4" w:space="0" w:color="auto"/>
              <w:right w:val="single" w:sz="4" w:space="0" w:color="auto"/>
            </w:tcBorders>
            <w:shd w:val="clear" w:color="auto" w:fill="auto"/>
            <w:noWrap/>
            <w:vAlign w:val="center"/>
            <w:hideMark/>
          </w:tcPr>
          <w:p w14:paraId="4F60E1E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0.90%</w:t>
            </w:r>
          </w:p>
        </w:tc>
        <w:tc>
          <w:tcPr>
            <w:tcW w:w="1134" w:type="dxa"/>
            <w:tcBorders>
              <w:top w:val="nil"/>
              <w:left w:val="nil"/>
              <w:bottom w:val="single" w:sz="4" w:space="0" w:color="auto"/>
              <w:right w:val="single" w:sz="4" w:space="0" w:color="auto"/>
            </w:tcBorders>
            <w:shd w:val="clear" w:color="auto" w:fill="auto"/>
            <w:noWrap/>
            <w:vAlign w:val="center"/>
            <w:hideMark/>
          </w:tcPr>
          <w:p w14:paraId="52C67D8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3CBA45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r>
      <w:tr w:rsidR="00E4501B" w:rsidRPr="007706F5" w14:paraId="03330065" w14:textId="77777777" w:rsidTr="001A48CE">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954D3A1"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2012-13</w:t>
            </w:r>
          </w:p>
        </w:tc>
        <w:tc>
          <w:tcPr>
            <w:tcW w:w="1134" w:type="dxa"/>
            <w:tcBorders>
              <w:top w:val="nil"/>
              <w:left w:val="nil"/>
              <w:bottom w:val="single" w:sz="4" w:space="0" w:color="auto"/>
              <w:right w:val="single" w:sz="4" w:space="0" w:color="auto"/>
            </w:tcBorders>
            <w:shd w:val="clear" w:color="auto" w:fill="auto"/>
            <w:noWrap/>
            <w:vAlign w:val="center"/>
            <w:hideMark/>
          </w:tcPr>
          <w:p w14:paraId="36477DE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5.35%</w:t>
            </w:r>
          </w:p>
        </w:tc>
        <w:tc>
          <w:tcPr>
            <w:tcW w:w="1498" w:type="dxa"/>
            <w:tcBorders>
              <w:top w:val="nil"/>
              <w:left w:val="nil"/>
              <w:bottom w:val="single" w:sz="4" w:space="0" w:color="auto"/>
              <w:right w:val="single" w:sz="4" w:space="0" w:color="auto"/>
            </w:tcBorders>
            <w:shd w:val="clear" w:color="auto" w:fill="auto"/>
            <w:noWrap/>
            <w:vAlign w:val="center"/>
            <w:hideMark/>
          </w:tcPr>
          <w:p w14:paraId="6FB5425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3.80%</w:t>
            </w:r>
          </w:p>
        </w:tc>
        <w:tc>
          <w:tcPr>
            <w:tcW w:w="1701" w:type="dxa"/>
            <w:tcBorders>
              <w:top w:val="nil"/>
              <w:left w:val="nil"/>
              <w:bottom w:val="single" w:sz="4" w:space="0" w:color="auto"/>
              <w:right w:val="single" w:sz="4" w:space="0" w:color="auto"/>
            </w:tcBorders>
            <w:shd w:val="clear" w:color="auto" w:fill="auto"/>
            <w:noWrap/>
            <w:vAlign w:val="center"/>
            <w:hideMark/>
          </w:tcPr>
          <w:p w14:paraId="17BF958C"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7.65%</w:t>
            </w:r>
          </w:p>
        </w:tc>
        <w:tc>
          <w:tcPr>
            <w:tcW w:w="1276" w:type="dxa"/>
            <w:tcBorders>
              <w:top w:val="nil"/>
              <w:left w:val="nil"/>
              <w:bottom w:val="single" w:sz="4" w:space="0" w:color="auto"/>
              <w:right w:val="single" w:sz="4" w:space="0" w:color="auto"/>
            </w:tcBorders>
            <w:shd w:val="clear" w:color="auto" w:fill="auto"/>
            <w:noWrap/>
            <w:vAlign w:val="center"/>
            <w:hideMark/>
          </w:tcPr>
          <w:p w14:paraId="2BD8D25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14:paraId="3809E2B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E4C610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r>
      <w:tr w:rsidR="00E4501B" w:rsidRPr="007706F5" w14:paraId="234E9DB2"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2D4A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C583E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3.02%</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76144D4"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2.43%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9A36A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309DD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24C2E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5725B6"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r>
      <w:tr w:rsidR="00E4501B" w:rsidRPr="007706F5" w14:paraId="2AA04024"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482B1"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168FA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E91BADC"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BA3E7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FA81E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56DA6E"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06816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2.20%</w:t>
            </w:r>
          </w:p>
        </w:tc>
      </w:tr>
      <w:tr w:rsidR="00E4501B" w:rsidRPr="007706F5" w14:paraId="5484775D"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95D1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06695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190525B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3.54%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8402BD"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6A0E2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1.49%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AD29C2"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27D789"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2.50%</w:t>
            </w:r>
          </w:p>
        </w:tc>
      </w:tr>
      <w:tr w:rsidR="00E4501B" w:rsidRPr="007706F5" w14:paraId="33BC2FAB"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076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2016-17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FC9B0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9C88"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8CA1A"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DFFDD"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B8DE"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A18F4"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2.50%</w:t>
            </w:r>
          </w:p>
        </w:tc>
      </w:tr>
      <w:tr w:rsidR="00E4501B" w:rsidRPr="007706F5" w14:paraId="2124E51F"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83A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2017-18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311B13"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2.25%</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35E88D95"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3.69%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58C5343"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3.06%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630BC7"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1.71%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9C7B459"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2.50%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5E991E"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2.50%</w:t>
            </w:r>
          </w:p>
        </w:tc>
      </w:tr>
      <w:tr w:rsidR="00E4501B" w:rsidRPr="007706F5" w14:paraId="06D5858B"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6AC35"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2018-19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B92DD8"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292080FA"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4.15%</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F00B190"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2.29%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38A8CABD"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1.68%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E767DF1"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2CA52C0"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0.00%</w:t>
            </w:r>
          </w:p>
        </w:tc>
      </w:tr>
      <w:tr w:rsidR="00E4501B" w:rsidRPr="007706F5" w14:paraId="49337DFB"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C74A"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2019-20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9A38A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0.00%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1C7C1F2F"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NA</w:t>
            </w:r>
            <w:r w:rsidRPr="007706F5">
              <w:rPr>
                <w:rStyle w:val="FootnoteReference"/>
                <w:rFonts w:ascii="Arial" w:eastAsia="Times New Roman" w:hAnsi="Arial" w:cs="Arial"/>
              </w:rPr>
              <w:footnoteReference w:id="12"/>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C5109C"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NA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1B15E7"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sz w:val="16"/>
                <w:szCs w:val="16"/>
              </w:rPr>
              <w:t>NA</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124019B"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2.50%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D5E641D" w14:textId="77777777" w:rsidR="00E4501B" w:rsidRPr="007706F5" w:rsidRDefault="00E4501B" w:rsidP="001A48CE">
            <w:pPr>
              <w:jc w:val="center"/>
              <w:rPr>
                <w:rFonts w:ascii="Arial" w:eastAsia="Times New Roman" w:hAnsi="Arial" w:cs="Arial"/>
                <w:sz w:val="16"/>
                <w:szCs w:val="16"/>
              </w:rPr>
            </w:pPr>
            <w:r w:rsidRPr="007706F5">
              <w:rPr>
                <w:rFonts w:ascii="Arial" w:hAnsi="Arial" w:cs="Arial"/>
                <w:sz w:val="16"/>
                <w:szCs w:val="16"/>
              </w:rPr>
              <w:t>0.00%</w:t>
            </w:r>
          </w:p>
        </w:tc>
      </w:tr>
      <w:tr w:rsidR="00E4501B" w:rsidRPr="007706F5" w14:paraId="1F8EC8F2" w14:textId="77777777" w:rsidTr="001A48CE">
        <w:trPr>
          <w:cantSplit/>
          <w:trHeight w:val="170"/>
        </w:trPr>
        <w:tc>
          <w:tcPr>
            <w:tcW w:w="1474" w:type="dxa"/>
            <w:tcBorders>
              <w:top w:val="single" w:sz="4" w:space="0" w:color="auto"/>
              <w:left w:val="single" w:sz="4" w:space="0" w:color="auto"/>
              <w:bottom w:val="single" w:sz="4" w:space="0" w:color="auto"/>
            </w:tcBorders>
            <w:shd w:val="clear" w:color="auto" w:fill="auto"/>
            <w:noWrap/>
            <w:vAlign w:val="center"/>
          </w:tcPr>
          <w:p w14:paraId="5774F108" w14:textId="77777777" w:rsidR="00E4501B" w:rsidRPr="007706F5" w:rsidRDefault="00E4501B" w:rsidP="001A48CE">
            <w:pPr>
              <w:jc w:val="center"/>
              <w:rPr>
                <w:rFonts w:ascii="Arial" w:eastAsia="Times New Roman" w:hAnsi="Arial" w:cs="Arial"/>
                <w:sz w:val="16"/>
                <w:szCs w:val="16"/>
              </w:rPr>
            </w:pPr>
          </w:p>
        </w:tc>
        <w:tc>
          <w:tcPr>
            <w:tcW w:w="1134" w:type="dxa"/>
            <w:tcBorders>
              <w:top w:val="single" w:sz="4" w:space="0" w:color="auto"/>
              <w:bottom w:val="single" w:sz="4" w:space="0" w:color="auto"/>
            </w:tcBorders>
            <w:shd w:val="clear" w:color="auto" w:fill="auto"/>
            <w:noWrap/>
            <w:vAlign w:val="center"/>
          </w:tcPr>
          <w:p w14:paraId="3C4F9A7F" w14:textId="77777777" w:rsidR="00E4501B" w:rsidRPr="007706F5" w:rsidRDefault="00E4501B" w:rsidP="001A48CE">
            <w:pPr>
              <w:jc w:val="center"/>
              <w:rPr>
                <w:rFonts w:ascii="Arial" w:eastAsia="Times New Roman" w:hAnsi="Arial" w:cs="Arial"/>
                <w:sz w:val="16"/>
                <w:szCs w:val="16"/>
              </w:rPr>
            </w:pPr>
          </w:p>
        </w:tc>
        <w:tc>
          <w:tcPr>
            <w:tcW w:w="1498" w:type="dxa"/>
            <w:tcBorders>
              <w:top w:val="single" w:sz="4" w:space="0" w:color="auto"/>
              <w:bottom w:val="single" w:sz="4" w:space="0" w:color="auto"/>
            </w:tcBorders>
            <w:shd w:val="clear" w:color="auto" w:fill="auto"/>
            <w:noWrap/>
            <w:vAlign w:val="center"/>
          </w:tcPr>
          <w:p w14:paraId="54E6C4C4" w14:textId="77777777" w:rsidR="00E4501B" w:rsidRPr="007706F5" w:rsidRDefault="00E4501B" w:rsidP="001A48CE">
            <w:pPr>
              <w:jc w:val="center"/>
              <w:rPr>
                <w:rFonts w:ascii="Arial" w:eastAsia="Times New Roman" w:hAnsi="Arial" w:cs="Arial"/>
                <w:sz w:val="16"/>
                <w:szCs w:val="16"/>
              </w:rPr>
            </w:pPr>
          </w:p>
        </w:tc>
        <w:tc>
          <w:tcPr>
            <w:tcW w:w="1701" w:type="dxa"/>
            <w:tcBorders>
              <w:top w:val="single" w:sz="4" w:space="0" w:color="auto"/>
              <w:bottom w:val="single" w:sz="4" w:space="0" w:color="auto"/>
            </w:tcBorders>
            <w:shd w:val="clear" w:color="auto" w:fill="auto"/>
            <w:noWrap/>
            <w:vAlign w:val="center"/>
          </w:tcPr>
          <w:p w14:paraId="341769BF" w14:textId="77777777" w:rsidR="00E4501B" w:rsidRPr="007706F5" w:rsidRDefault="00E4501B" w:rsidP="001A48CE">
            <w:pPr>
              <w:jc w:val="center"/>
              <w:rPr>
                <w:rFonts w:ascii="Arial" w:eastAsia="Times New Roman" w:hAnsi="Arial" w:cs="Arial"/>
                <w:sz w:val="16"/>
                <w:szCs w:val="16"/>
              </w:rPr>
            </w:pPr>
          </w:p>
        </w:tc>
        <w:tc>
          <w:tcPr>
            <w:tcW w:w="1276" w:type="dxa"/>
            <w:tcBorders>
              <w:top w:val="single" w:sz="4" w:space="0" w:color="auto"/>
              <w:bottom w:val="single" w:sz="4" w:space="0" w:color="auto"/>
            </w:tcBorders>
            <w:shd w:val="clear" w:color="auto" w:fill="auto"/>
            <w:noWrap/>
            <w:vAlign w:val="center"/>
          </w:tcPr>
          <w:p w14:paraId="0140965D" w14:textId="77777777" w:rsidR="00E4501B" w:rsidRPr="007706F5" w:rsidRDefault="00E4501B" w:rsidP="001A48CE">
            <w:pPr>
              <w:jc w:val="center"/>
              <w:rPr>
                <w:rFonts w:ascii="Arial" w:eastAsia="Times New Roman" w:hAnsi="Arial" w:cs="Arial"/>
                <w:sz w:val="16"/>
                <w:szCs w:val="16"/>
              </w:rPr>
            </w:pPr>
          </w:p>
        </w:tc>
        <w:tc>
          <w:tcPr>
            <w:tcW w:w="1134" w:type="dxa"/>
            <w:tcBorders>
              <w:top w:val="single" w:sz="4" w:space="0" w:color="auto"/>
              <w:bottom w:val="single" w:sz="4" w:space="0" w:color="auto"/>
            </w:tcBorders>
            <w:shd w:val="clear" w:color="auto" w:fill="auto"/>
            <w:noWrap/>
            <w:vAlign w:val="center"/>
          </w:tcPr>
          <w:p w14:paraId="25D51653" w14:textId="77777777" w:rsidR="00E4501B" w:rsidRPr="007706F5" w:rsidRDefault="00E4501B" w:rsidP="001A48CE">
            <w:pPr>
              <w:jc w:val="center"/>
              <w:rPr>
                <w:rFonts w:ascii="Arial" w:eastAsia="Times New Roman" w:hAnsi="Arial" w:cs="Arial"/>
                <w:sz w:val="16"/>
                <w:szCs w:val="16"/>
              </w:rPr>
            </w:pPr>
          </w:p>
        </w:tc>
        <w:tc>
          <w:tcPr>
            <w:tcW w:w="1417" w:type="dxa"/>
            <w:tcBorders>
              <w:top w:val="single" w:sz="4" w:space="0" w:color="auto"/>
              <w:bottom w:val="single" w:sz="4" w:space="0" w:color="auto"/>
            </w:tcBorders>
            <w:shd w:val="clear" w:color="auto" w:fill="auto"/>
            <w:noWrap/>
            <w:vAlign w:val="center"/>
          </w:tcPr>
          <w:p w14:paraId="7AC62BE4" w14:textId="77777777" w:rsidR="00E4501B" w:rsidRPr="007706F5" w:rsidRDefault="00E4501B" w:rsidP="001A48CE">
            <w:pPr>
              <w:jc w:val="center"/>
              <w:rPr>
                <w:rFonts w:ascii="Arial" w:eastAsia="Times New Roman" w:hAnsi="Arial" w:cs="Arial"/>
                <w:sz w:val="16"/>
                <w:szCs w:val="16"/>
              </w:rPr>
            </w:pPr>
          </w:p>
        </w:tc>
      </w:tr>
      <w:tr w:rsidR="00E4501B" w:rsidRPr="007706F5" w14:paraId="456B12C6"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tcPr>
          <w:p w14:paraId="43BFB891" w14:textId="77777777" w:rsidR="00E4501B" w:rsidRPr="007706F5" w:rsidRDefault="00E4501B" w:rsidP="001A48CE">
            <w:pPr>
              <w:jc w:val="center"/>
              <w:rPr>
                <w:rFonts w:ascii="Arial" w:eastAsia="Times New Roman" w:hAnsi="Arial" w:cs="Arial"/>
                <w:bCs/>
                <w:sz w:val="16"/>
                <w:szCs w:val="16"/>
              </w:rPr>
            </w:pPr>
            <w:r w:rsidRPr="007706F5">
              <w:rPr>
                <w:rFonts w:ascii="Arial" w:eastAsia="Times New Roman" w:hAnsi="Arial" w:cs="Arial"/>
                <w:bCs/>
                <w:sz w:val="16"/>
                <w:szCs w:val="16"/>
              </w:rPr>
              <w:t xml:space="preserve">5-year </w:t>
            </w:r>
            <w:proofErr w:type="spellStart"/>
            <w:r w:rsidRPr="007706F5">
              <w:rPr>
                <w:rFonts w:ascii="Arial" w:eastAsia="Times New Roman" w:hAnsi="Arial" w:cs="Arial"/>
                <w:bCs/>
                <w:sz w:val="16"/>
                <w:szCs w:val="16"/>
              </w:rPr>
              <w:t>ave</w:t>
            </w:r>
            <w:proofErr w:type="spellEnd"/>
            <w:r w:rsidRPr="007706F5">
              <w:rPr>
                <w:rFonts w:ascii="Arial" w:eastAsia="Times New Roman" w:hAnsi="Arial" w:cs="Arial"/>
                <w:bCs/>
                <w:sz w:val="16"/>
                <w:szCs w:val="16"/>
              </w:rPr>
              <w:t xml:space="preserve"> to 2018-19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8658C"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1.34%</w:t>
            </w:r>
          </w:p>
        </w:tc>
        <w:tc>
          <w:tcPr>
            <w:tcW w:w="1498" w:type="dxa"/>
            <w:tcBorders>
              <w:top w:val="single" w:sz="4" w:space="0" w:color="auto"/>
              <w:left w:val="nil"/>
              <w:bottom w:val="single" w:sz="4" w:space="0" w:color="auto"/>
              <w:right w:val="single" w:sz="4" w:space="0" w:color="auto"/>
            </w:tcBorders>
            <w:shd w:val="clear" w:color="auto" w:fill="auto"/>
            <w:noWrap/>
            <w:vAlign w:val="bottom"/>
          </w:tcPr>
          <w:p w14:paraId="1BFC81A8"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3.15%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106BCAF"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1.85%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A815752"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FC526"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1.94%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53B0CEA"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1.94%</w:t>
            </w:r>
          </w:p>
        </w:tc>
      </w:tr>
      <w:tr w:rsidR="00E4501B" w:rsidRPr="007706F5" w14:paraId="5E868D68" w14:textId="77777777" w:rsidTr="001A48CE">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FE63" w14:textId="77777777" w:rsidR="00E4501B" w:rsidRPr="007706F5" w:rsidRDefault="00E4501B" w:rsidP="001A48CE">
            <w:pPr>
              <w:jc w:val="center"/>
              <w:rPr>
                <w:rFonts w:ascii="Arial" w:eastAsia="Times New Roman" w:hAnsi="Arial" w:cs="Arial"/>
                <w:bCs/>
                <w:sz w:val="16"/>
                <w:szCs w:val="16"/>
              </w:rPr>
            </w:pPr>
            <w:r w:rsidRPr="007706F5">
              <w:rPr>
                <w:rFonts w:ascii="Arial" w:eastAsia="Times New Roman" w:hAnsi="Arial" w:cs="Arial"/>
                <w:bCs/>
                <w:sz w:val="16"/>
                <w:szCs w:val="16"/>
              </w:rPr>
              <w:t xml:space="preserve">10-year </w:t>
            </w:r>
            <w:proofErr w:type="spellStart"/>
            <w:r w:rsidRPr="007706F5">
              <w:rPr>
                <w:rFonts w:ascii="Arial" w:eastAsia="Times New Roman" w:hAnsi="Arial" w:cs="Arial"/>
                <w:bCs/>
                <w:sz w:val="16"/>
                <w:szCs w:val="16"/>
              </w:rPr>
              <w:t>ave</w:t>
            </w:r>
            <w:proofErr w:type="spellEnd"/>
            <w:r w:rsidRPr="007706F5">
              <w:rPr>
                <w:rFonts w:ascii="Arial" w:eastAsia="Times New Roman" w:hAnsi="Arial" w:cs="Arial"/>
                <w:bCs/>
                <w:sz w:val="16"/>
                <w:szCs w:val="16"/>
              </w:rPr>
              <w:t xml:space="preserve"> to 2018-19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21AE83E"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2.32%</w:t>
            </w:r>
          </w:p>
        </w:tc>
        <w:tc>
          <w:tcPr>
            <w:tcW w:w="1498" w:type="dxa"/>
            <w:tcBorders>
              <w:top w:val="nil"/>
              <w:left w:val="nil"/>
              <w:bottom w:val="single" w:sz="4" w:space="0" w:color="auto"/>
              <w:right w:val="single" w:sz="4" w:space="0" w:color="auto"/>
            </w:tcBorders>
            <w:shd w:val="clear" w:color="auto" w:fill="auto"/>
            <w:noWrap/>
            <w:vAlign w:val="bottom"/>
          </w:tcPr>
          <w:p w14:paraId="1D4C68EB"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3.64%</w:t>
            </w:r>
          </w:p>
        </w:tc>
        <w:tc>
          <w:tcPr>
            <w:tcW w:w="1701" w:type="dxa"/>
            <w:tcBorders>
              <w:top w:val="nil"/>
              <w:left w:val="nil"/>
              <w:bottom w:val="single" w:sz="4" w:space="0" w:color="auto"/>
              <w:right w:val="single" w:sz="4" w:space="0" w:color="auto"/>
            </w:tcBorders>
            <w:shd w:val="clear" w:color="auto" w:fill="auto"/>
            <w:noWrap/>
            <w:vAlign w:val="bottom"/>
          </w:tcPr>
          <w:p w14:paraId="1761C369"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3.18%</w:t>
            </w:r>
          </w:p>
        </w:tc>
        <w:tc>
          <w:tcPr>
            <w:tcW w:w="1276" w:type="dxa"/>
            <w:tcBorders>
              <w:top w:val="nil"/>
              <w:left w:val="nil"/>
              <w:bottom w:val="single" w:sz="4" w:space="0" w:color="auto"/>
              <w:right w:val="single" w:sz="4" w:space="0" w:color="auto"/>
            </w:tcBorders>
            <w:shd w:val="clear" w:color="auto" w:fill="auto"/>
            <w:noWrap/>
            <w:vAlign w:val="bottom"/>
          </w:tcPr>
          <w:p w14:paraId="1C9243ED"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2.14%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2449817"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1.98%</w:t>
            </w:r>
          </w:p>
        </w:tc>
        <w:tc>
          <w:tcPr>
            <w:tcW w:w="1417" w:type="dxa"/>
            <w:tcBorders>
              <w:top w:val="nil"/>
              <w:left w:val="nil"/>
              <w:bottom w:val="single" w:sz="4" w:space="0" w:color="auto"/>
              <w:right w:val="single" w:sz="4" w:space="0" w:color="auto"/>
            </w:tcBorders>
            <w:shd w:val="clear" w:color="auto" w:fill="auto"/>
            <w:noWrap/>
            <w:vAlign w:val="bottom"/>
          </w:tcPr>
          <w:p w14:paraId="0C8B7EA7" w14:textId="77777777" w:rsidR="00E4501B" w:rsidRPr="00EB58B1" w:rsidRDefault="00E4501B" w:rsidP="001A48CE">
            <w:pPr>
              <w:jc w:val="center"/>
              <w:rPr>
                <w:rFonts w:ascii="Arial" w:hAnsi="Arial" w:cs="Arial"/>
                <w:sz w:val="16"/>
                <w:szCs w:val="16"/>
              </w:rPr>
            </w:pPr>
            <w:r w:rsidRPr="007706F5">
              <w:rPr>
                <w:rFonts w:ascii="Arial" w:hAnsi="Arial" w:cs="Arial"/>
                <w:sz w:val="16"/>
                <w:szCs w:val="16"/>
              </w:rPr>
              <w:t>2.13%</w:t>
            </w:r>
          </w:p>
        </w:tc>
      </w:tr>
    </w:tbl>
    <w:p w14:paraId="6AEBA638" w14:textId="77777777" w:rsidR="00E4501B" w:rsidRPr="007706F5" w:rsidRDefault="00E4501B" w:rsidP="00E4501B">
      <w:pPr>
        <w:rPr>
          <w:rFonts w:ascii="Arial" w:hAnsi="Arial" w:cs="Arial"/>
          <w:sz w:val="12"/>
          <w:szCs w:val="12"/>
        </w:rPr>
      </w:pPr>
    </w:p>
    <w:tbl>
      <w:tblPr>
        <w:tblW w:w="9634" w:type="dxa"/>
        <w:tblLook w:val="04A0" w:firstRow="1" w:lastRow="0" w:firstColumn="1" w:lastColumn="0" w:noHBand="0" w:noVBand="1"/>
      </w:tblPr>
      <w:tblGrid>
        <w:gridCol w:w="1413"/>
        <w:gridCol w:w="1276"/>
        <w:gridCol w:w="1417"/>
        <w:gridCol w:w="1701"/>
        <w:gridCol w:w="1290"/>
        <w:gridCol w:w="1120"/>
        <w:gridCol w:w="1417"/>
      </w:tblGrid>
      <w:tr w:rsidR="00E4501B" w:rsidRPr="007706F5" w14:paraId="15C0021C" w14:textId="77777777" w:rsidTr="001A48CE">
        <w:trPr>
          <w:trHeight w:val="732"/>
        </w:trPr>
        <w:tc>
          <w:tcPr>
            <w:tcW w:w="1413"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6D54B192" w14:textId="77777777" w:rsidR="00E4501B" w:rsidRPr="007706F5" w:rsidRDefault="00E4501B" w:rsidP="001A48CE">
            <w:pPr>
              <w:jc w:val="center"/>
              <w:rPr>
                <w:rFonts w:ascii="Arial" w:eastAsia="Times New Roman" w:hAnsi="Arial" w:cs="Arial"/>
                <w:b/>
                <w:bCs/>
                <w:sz w:val="16"/>
                <w:szCs w:val="16"/>
              </w:rPr>
            </w:pPr>
          </w:p>
        </w:tc>
        <w:tc>
          <w:tcPr>
            <w:tcW w:w="1276" w:type="dxa"/>
            <w:tcBorders>
              <w:top w:val="single" w:sz="4" w:space="0" w:color="auto"/>
              <w:left w:val="nil"/>
              <w:bottom w:val="single" w:sz="4" w:space="0" w:color="auto"/>
              <w:right w:val="single" w:sz="4" w:space="0" w:color="auto"/>
            </w:tcBorders>
            <w:shd w:val="clear" w:color="000000" w:fill="95B3D7"/>
            <w:vAlign w:val="center"/>
            <w:hideMark/>
          </w:tcPr>
          <w:p w14:paraId="652D185C"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MP Base Salary</w:t>
            </w:r>
          </w:p>
        </w:tc>
        <w:tc>
          <w:tcPr>
            <w:tcW w:w="1417" w:type="dxa"/>
            <w:tcBorders>
              <w:top w:val="single" w:sz="4" w:space="0" w:color="auto"/>
              <w:left w:val="nil"/>
              <w:bottom w:val="single" w:sz="4" w:space="0" w:color="auto"/>
              <w:right w:val="single" w:sz="4" w:space="0" w:color="auto"/>
            </w:tcBorders>
            <w:shd w:val="clear" w:color="000000" w:fill="95B3D7"/>
            <w:vAlign w:val="center"/>
            <w:hideMark/>
          </w:tcPr>
          <w:p w14:paraId="0E0C7809"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Average Weekly Earnings, Public Sector</w:t>
            </w:r>
          </w:p>
        </w:tc>
        <w:tc>
          <w:tcPr>
            <w:tcW w:w="1701" w:type="dxa"/>
            <w:tcBorders>
              <w:top w:val="single" w:sz="4" w:space="0" w:color="auto"/>
              <w:left w:val="nil"/>
              <w:bottom w:val="single" w:sz="4" w:space="0" w:color="auto"/>
              <w:right w:val="single" w:sz="4" w:space="0" w:color="auto"/>
            </w:tcBorders>
            <w:shd w:val="clear" w:color="000000" w:fill="95B3D7"/>
            <w:vAlign w:val="center"/>
            <w:hideMark/>
          </w:tcPr>
          <w:p w14:paraId="0F65B95B"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Average Weekly Earnings, Private and Public Sector</w:t>
            </w:r>
          </w:p>
        </w:tc>
        <w:tc>
          <w:tcPr>
            <w:tcW w:w="1290" w:type="dxa"/>
            <w:tcBorders>
              <w:top w:val="single" w:sz="4" w:space="0" w:color="auto"/>
              <w:left w:val="nil"/>
              <w:bottom w:val="single" w:sz="4" w:space="0" w:color="auto"/>
              <w:right w:val="single" w:sz="4" w:space="0" w:color="auto"/>
            </w:tcBorders>
            <w:shd w:val="clear" w:color="000000" w:fill="95B3D7"/>
            <w:vAlign w:val="center"/>
            <w:hideMark/>
          </w:tcPr>
          <w:p w14:paraId="4C84817E"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CPI</w:t>
            </w:r>
          </w:p>
        </w:tc>
        <w:tc>
          <w:tcPr>
            <w:tcW w:w="1120" w:type="dxa"/>
            <w:tcBorders>
              <w:top w:val="single" w:sz="4" w:space="0" w:color="auto"/>
              <w:left w:val="nil"/>
              <w:bottom w:val="single" w:sz="4" w:space="0" w:color="auto"/>
              <w:right w:val="single" w:sz="4" w:space="0" w:color="auto"/>
            </w:tcBorders>
            <w:shd w:val="clear" w:color="000000" w:fill="95B3D7"/>
            <w:vAlign w:val="center"/>
            <w:hideMark/>
          </w:tcPr>
          <w:p w14:paraId="1268A9C6"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Qld Core Public Service</w:t>
            </w:r>
          </w:p>
        </w:tc>
        <w:tc>
          <w:tcPr>
            <w:tcW w:w="1417" w:type="dxa"/>
            <w:tcBorders>
              <w:top w:val="single" w:sz="4" w:space="0" w:color="auto"/>
              <w:left w:val="nil"/>
              <w:bottom w:val="single" w:sz="4" w:space="0" w:color="auto"/>
              <w:right w:val="single" w:sz="4" w:space="0" w:color="auto"/>
            </w:tcBorders>
            <w:shd w:val="clear" w:color="000000" w:fill="95B3D7"/>
            <w:vAlign w:val="center"/>
            <w:hideMark/>
          </w:tcPr>
          <w:p w14:paraId="5445D317" w14:textId="77777777" w:rsidR="00E4501B" w:rsidRPr="007706F5" w:rsidRDefault="00E4501B" w:rsidP="001A48CE">
            <w:pPr>
              <w:jc w:val="center"/>
              <w:rPr>
                <w:rFonts w:ascii="Arial" w:eastAsia="Times New Roman" w:hAnsi="Arial" w:cs="Arial"/>
                <w:b/>
                <w:bCs/>
                <w:sz w:val="14"/>
                <w:szCs w:val="14"/>
              </w:rPr>
            </w:pPr>
            <w:r w:rsidRPr="007706F5">
              <w:rPr>
                <w:rFonts w:ascii="Arial" w:eastAsia="Times New Roman" w:hAnsi="Arial" w:cs="Arial"/>
                <w:b/>
                <w:bCs/>
                <w:sz w:val="14"/>
                <w:szCs w:val="14"/>
              </w:rPr>
              <w:t>SES</w:t>
            </w:r>
          </w:p>
        </w:tc>
      </w:tr>
      <w:tr w:rsidR="00E4501B" w:rsidRPr="007706F5" w14:paraId="0E6FCEEC" w14:textId="77777777" w:rsidTr="001A48CE">
        <w:trPr>
          <w:trHeight w:val="17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D9D1B" w14:textId="77777777" w:rsidR="00E4501B" w:rsidRPr="007706F5" w:rsidRDefault="00E4501B" w:rsidP="001A48CE">
            <w:pPr>
              <w:jc w:val="center"/>
              <w:rPr>
                <w:rFonts w:ascii="Arial" w:eastAsia="Times New Roman" w:hAnsi="Arial" w:cs="Arial"/>
                <w:sz w:val="16"/>
                <w:szCs w:val="16"/>
              </w:rPr>
            </w:pPr>
            <w:r w:rsidRPr="007706F5">
              <w:rPr>
                <w:rFonts w:ascii="Arial" w:eastAsia="Times New Roman" w:hAnsi="Arial" w:cs="Arial"/>
                <w:bCs/>
                <w:sz w:val="16"/>
                <w:szCs w:val="16"/>
              </w:rPr>
              <w:t>$1,000 indexed since 2004-05 to 2018-19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0B960"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$1,497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7463EF"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$1,799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2A79F3"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$1,779</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3F954CF9"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$1,451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C34C"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$1,484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6F2874" w14:textId="77777777" w:rsidR="00E4501B" w:rsidRPr="00EB58B1" w:rsidRDefault="00E4501B" w:rsidP="001A48CE">
            <w:pPr>
              <w:jc w:val="center"/>
              <w:rPr>
                <w:rFonts w:ascii="Arial" w:hAnsi="Arial" w:cs="Arial"/>
                <w:bCs/>
                <w:sz w:val="16"/>
                <w:szCs w:val="16"/>
              </w:rPr>
            </w:pPr>
            <w:r w:rsidRPr="007706F5">
              <w:rPr>
                <w:rFonts w:ascii="Arial" w:hAnsi="Arial" w:cs="Arial"/>
                <w:bCs/>
                <w:sz w:val="16"/>
                <w:szCs w:val="16"/>
              </w:rPr>
              <w:t>$1,479</w:t>
            </w:r>
          </w:p>
        </w:tc>
      </w:tr>
    </w:tbl>
    <w:p w14:paraId="7261F2F9" w14:textId="77777777" w:rsidR="00E4501B" w:rsidRPr="007706F5" w:rsidRDefault="00E4501B" w:rsidP="00E4501B">
      <w:pPr>
        <w:rPr>
          <w:rFonts w:ascii="Arial" w:hAnsi="Arial" w:cs="Arial"/>
        </w:rPr>
      </w:pPr>
    </w:p>
    <w:tbl>
      <w:tblPr>
        <w:tblW w:w="9639" w:type="dxa"/>
        <w:tblInd w:w="-5" w:type="dxa"/>
        <w:tblLayout w:type="fixed"/>
        <w:tblLook w:val="04A0" w:firstRow="1" w:lastRow="0" w:firstColumn="1" w:lastColumn="0" w:noHBand="0" w:noVBand="1"/>
      </w:tblPr>
      <w:tblGrid>
        <w:gridCol w:w="2694"/>
        <w:gridCol w:w="6945"/>
      </w:tblGrid>
      <w:tr w:rsidR="00E4501B" w:rsidRPr="007706F5" w14:paraId="2E0AFF5C"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shd w:val="clear" w:color="auto" w:fill="95B3D7"/>
            <w:noWrap/>
            <w:vAlign w:val="center"/>
            <w:hideMark/>
          </w:tcPr>
          <w:p w14:paraId="32B31FFC" w14:textId="77777777" w:rsidR="00E4501B" w:rsidRPr="007706F5" w:rsidRDefault="00E4501B" w:rsidP="001A48CE">
            <w:pPr>
              <w:rPr>
                <w:rFonts w:ascii="Arial" w:eastAsia="Times New Roman" w:hAnsi="Arial" w:cs="Arial"/>
                <w:b/>
                <w:bCs/>
                <w:color w:val="000000"/>
                <w:sz w:val="16"/>
                <w:szCs w:val="16"/>
              </w:rPr>
            </w:pPr>
            <w:r w:rsidRPr="007706F5">
              <w:rPr>
                <w:rFonts w:ascii="Arial" w:hAnsi="Arial" w:cs="Arial"/>
                <w:sz w:val="16"/>
                <w:szCs w:val="16"/>
              </w:rPr>
              <w:br w:type="page"/>
            </w:r>
            <w:r w:rsidRPr="007706F5">
              <w:rPr>
                <w:rFonts w:ascii="Arial" w:eastAsia="Times New Roman" w:hAnsi="Arial" w:cs="Arial"/>
                <w:b/>
                <w:bCs/>
                <w:color w:val="000000"/>
                <w:sz w:val="16"/>
                <w:szCs w:val="16"/>
              </w:rPr>
              <w:t>DATA</w:t>
            </w:r>
          </w:p>
        </w:tc>
        <w:tc>
          <w:tcPr>
            <w:tcW w:w="6945" w:type="dxa"/>
            <w:tcBorders>
              <w:top w:val="single" w:sz="4" w:space="0" w:color="auto"/>
              <w:left w:val="nil"/>
              <w:bottom w:val="single" w:sz="4" w:space="0" w:color="auto"/>
              <w:right w:val="single" w:sz="4" w:space="0" w:color="000000"/>
            </w:tcBorders>
            <w:shd w:val="clear" w:color="auto" w:fill="95B3D7"/>
            <w:noWrap/>
            <w:vAlign w:val="center"/>
            <w:hideMark/>
          </w:tcPr>
          <w:p w14:paraId="1CDEE52F" w14:textId="77777777" w:rsidR="00E4501B" w:rsidRPr="007706F5" w:rsidRDefault="00E4501B" w:rsidP="001A48CE">
            <w:pPr>
              <w:rPr>
                <w:rFonts w:ascii="Arial" w:eastAsia="Times New Roman" w:hAnsi="Arial" w:cs="Arial"/>
                <w:b/>
                <w:bCs/>
                <w:color w:val="000000"/>
                <w:sz w:val="16"/>
                <w:szCs w:val="16"/>
              </w:rPr>
            </w:pPr>
            <w:r w:rsidRPr="007706F5">
              <w:rPr>
                <w:rFonts w:ascii="Arial" w:eastAsia="Times New Roman" w:hAnsi="Arial" w:cs="Arial"/>
                <w:b/>
                <w:bCs/>
                <w:color w:val="000000"/>
                <w:sz w:val="16"/>
                <w:szCs w:val="16"/>
              </w:rPr>
              <w:t>SOURCE</w:t>
            </w:r>
          </w:p>
        </w:tc>
      </w:tr>
      <w:tr w:rsidR="00E4501B" w:rsidRPr="007706F5" w14:paraId="0CA72C24"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76F34A9B"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MP Base Salary</w:t>
            </w:r>
          </w:p>
        </w:tc>
        <w:tc>
          <w:tcPr>
            <w:tcW w:w="6945" w:type="dxa"/>
            <w:tcBorders>
              <w:top w:val="single" w:sz="4" w:space="0" w:color="auto"/>
              <w:left w:val="nil"/>
              <w:bottom w:val="single" w:sz="4" w:space="0" w:color="auto"/>
              <w:right w:val="single" w:sz="4" w:space="0" w:color="000000"/>
            </w:tcBorders>
            <w:vAlign w:val="center"/>
            <w:hideMark/>
          </w:tcPr>
          <w:p w14:paraId="6E820282"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MP Base Salary increase from 1 July in financial year</w:t>
            </w:r>
          </w:p>
        </w:tc>
      </w:tr>
      <w:tr w:rsidR="00E4501B" w:rsidRPr="007706F5" w14:paraId="3E28C77F"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04551EC0"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Average Weekly Earnings, Public Sector</w:t>
            </w:r>
          </w:p>
        </w:tc>
        <w:tc>
          <w:tcPr>
            <w:tcW w:w="6945" w:type="dxa"/>
            <w:tcBorders>
              <w:top w:val="single" w:sz="4" w:space="0" w:color="auto"/>
              <w:left w:val="nil"/>
              <w:bottom w:val="single" w:sz="4" w:space="0" w:color="auto"/>
              <w:right w:val="single" w:sz="4" w:space="0" w:color="000000"/>
            </w:tcBorders>
            <w:vAlign w:val="center"/>
            <w:hideMark/>
          </w:tcPr>
          <w:p w14:paraId="50894BAB"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 xml:space="preserve">ABS 6302.0 - Average Weekly Ordinary Time Earnings - </w:t>
            </w:r>
            <w:proofErr w:type="gramStart"/>
            <w:r w:rsidRPr="007706F5">
              <w:rPr>
                <w:rFonts w:ascii="Arial" w:eastAsia="Times New Roman" w:hAnsi="Arial" w:cs="Arial"/>
                <w:sz w:val="16"/>
                <w:szCs w:val="16"/>
              </w:rPr>
              <w:t>Qld ;</w:t>
            </w:r>
            <w:proofErr w:type="gramEnd"/>
            <w:r w:rsidRPr="007706F5">
              <w:rPr>
                <w:rFonts w:ascii="Arial" w:eastAsia="Times New Roman" w:hAnsi="Arial" w:cs="Arial"/>
                <w:sz w:val="16"/>
                <w:szCs w:val="16"/>
              </w:rPr>
              <w:t xml:space="preserve"> Persons ; Full Time ; Adult ; Public Sector</w:t>
            </w:r>
          </w:p>
        </w:tc>
      </w:tr>
      <w:tr w:rsidR="00E4501B" w:rsidRPr="007706F5" w14:paraId="580FCFBE"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tcPr>
          <w:p w14:paraId="3D7A2DF3"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Average Weekly Earnings, Private and Public Sector</w:t>
            </w:r>
          </w:p>
        </w:tc>
        <w:tc>
          <w:tcPr>
            <w:tcW w:w="6945" w:type="dxa"/>
            <w:tcBorders>
              <w:top w:val="single" w:sz="4" w:space="0" w:color="auto"/>
              <w:left w:val="nil"/>
              <w:bottom w:val="single" w:sz="4" w:space="0" w:color="auto"/>
              <w:right w:val="single" w:sz="4" w:space="0" w:color="000000"/>
            </w:tcBorders>
            <w:vAlign w:val="center"/>
          </w:tcPr>
          <w:p w14:paraId="1341A2D0"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 xml:space="preserve">ABS 6302.0 - Average Weekly Ordinary Time Earnings - </w:t>
            </w:r>
            <w:proofErr w:type="gramStart"/>
            <w:r w:rsidRPr="007706F5">
              <w:rPr>
                <w:rFonts w:ascii="Arial" w:eastAsia="Times New Roman" w:hAnsi="Arial" w:cs="Arial"/>
                <w:sz w:val="16"/>
                <w:szCs w:val="16"/>
              </w:rPr>
              <w:t>Qld ;</w:t>
            </w:r>
            <w:proofErr w:type="gramEnd"/>
            <w:r w:rsidRPr="007706F5">
              <w:rPr>
                <w:rFonts w:ascii="Arial" w:eastAsia="Times New Roman" w:hAnsi="Arial" w:cs="Arial"/>
                <w:sz w:val="16"/>
                <w:szCs w:val="16"/>
              </w:rPr>
              <w:t xml:space="preserve"> Persons ; Full Time ; Adult ; Total (Public and Private Sector)</w:t>
            </w:r>
          </w:p>
        </w:tc>
      </w:tr>
      <w:tr w:rsidR="00E4501B" w:rsidRPr="007706F5" w14:paraId="399C963C"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71A17F1E"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CPI</w:t>
            </w:r>
          </w:p>
        </w:tc>
        <w:tc>
          <w:tcPr>
            <w:tcW w:w="6945" w:type="dxa"/>
            <w:tcBorders>
              <w:top w:val="single" w:sz="4" w:space="0" w:color="auto"/>
              <w:left w:val="nil"/>
              <w:bottom w:val="single" w:sz="4" w:space="0" w:color="auto"/>
              <w:right w:val="single" w:sz="4" w:space="0" w:color="000000"/>
            </w:tcBorders>
            <w:vAlign w:val="center"/>
            <w:hideMark/>
          </w:tcPr>
          <w:p w14:paraId="5B968C98"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ABS 6401.0 - Consumer Price Index - All groups CPI; Brisbane</w:t>
            </w:r>
          </w:p>
        </w:tc>
      </w:tr>
      <w:tr w:rsidR="00E4501B" w:rsidRPr="007706F5" w14:paraId="5375A906"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473C4EAB"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QLD Core Public Service</w:t>
            </w:r>
          </w:p>
        </w:tc>
        <w:tc>
          <w:tcPr>
            <w:tcW w:w="6945" w:type="dxa"/>
            <w:tcBorders>
              <w:top w:val="single" w:sz="4" w:space="0" w:color="auto"/>
              <w:left w:val="nil"/>
              <w:bottom w:val="single" w:sz="4" w:space="0" w:color="auto"/>
              <w:right w:val="single" w:sz="4" w:space="0" w:color="000000"/>
            </w:tcBorders>
            <w:vAlign w:val="center"/>
            <w:hideMark/>
          </w:tcPr>
          <w:p w14:paraId="6FA2CBE9"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Wage increases of 'core' government departments and agencies, State Government Entities Certified Agreement (2003, 2006, 2009, 2013,2015,2019)</w:t>
            </w:r>
            <w:r w:rsidRPr="007706F5">
              <w:rPr>
                <w:rStyle w:val="FootnoteReference"/>
                <w:rFonts w:ascii="Arial" w:eastAsia="Times New Roman" w:hAnsi="Arial" w:cs="Arial"/>
              </w:rPr>
              <w:footnoteRef/>
            </w:r>
          </w:p>
        </w:tc>
      </w:tr>
      <w:tr w:rsidR="00E4501B" w:rsidRPr="007706F5" w14:paraId="69BEA29B" w14:textId="77777777" w:rsidTr="001A48CE">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63E21CED"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SES Remuneration</w:t>
            </w:r>
          </w:p>
        </w:tc>
        <w:tc>
          <w:tcPr>
            <w:tcW w:w="6945" w:type="dxa"/>
            <w:tcBorders>
              <w:top w:val="single" w:sz="4" w:space="0" w:color="auto"/>
              <w:left w:val="nil"/>
              <w:bottom w:val="single" w:sz="4" w:space="0" w:color="auto"/>
              <w:right w:val="single" w:sz="4" w:space="0" w:color="000000"/>
            </w:tcBorders>
            <w:vAlign w:val="center"/>
            <w:hideMark/>
          </w:tcPr>
          <w:p w14:paraId="747C9074" w14:textId="77777777" w:rsidR="00E4501B" w:rsidRPr="007706F5" w:rsidRDefault="00E4501B" w:rsidP="001A48CE">
            <w:pPr>
              <w:rPr>
                <w:rFonts w:ascii="Arial" w:eastAsia="Times New Roman" w:hAnsi="Arial" w:cs="Arial"/>
                <w:sz w:val="16"/>
                <w:szCs w:val="16"/>
              </w:rPr>
            </w:pPr>
            <w:r w:rsidRPr="007706F5">
              <w:rPr>
                <w:rFonts w:ascii="Arial" w:eastAsia="Times New Roman" w:hAnsi="Arial" w:cs="Arial"/>
                <w:sz w:val="16"/>
                <w:szCs w:val="16"/>
              </w:rPr>
              <w:t>Based on SES Remuneration Scale provided by the Public Service Commission</w:t>
            </w:r>
          </w:p>
        </w:tc>
      </w:tr>
    </w:tbl>
    <w:p w14:paraId="78218ECC" w14:textId="43486440" w:rsidR="00E4501B" w:rsidRPr="007706F5" w:rsidRDefault="00E4501B" w:rsidP="00E4501B">
      <w:pPr>
        <w:keepNext/>
        <w:rPr>
          <w:rFonts w:ascii="Arial" w:hAnsi="Arial" w:cs="Arial"/>
        </w:rPr>
      </w:pPr>
    </w:p>
    <w:tbl>
      <w:tblPr>
        <w:tblW w:w="9344" w:type="dxa"/>
        <w:tblInd w:w="2" w:type="dxa"/>
        <w:tblCellMar>
          <w:left w:w="0" w:type="dxa"/>
          <w:right w:w="0" w:type="dxa"/>
        </w:tblCellMar>
        <w:tblLook w:val="04A0" w:firstRow="1" w:lastRow="0" w:firstColumn="1" w:lastColumn="0" w:noHBand="0" w:noVBand="1"/>
      </w:tblPr>
      <w:tblGrid>
        <w:gridCol w:w="4131"/>
        <w:gridCol w:w="2236"/>
        <w:gridCol w:w="1985"/>
        <w:gridCol w:w="992"/>
      </w:tblGrid>
      <w:tr w:rsidR="00E4501B" w:rsidRPr="007706F5" w14:paraId="0F28ECE0" w14:textId="77777777" w:rsidTr="0054175F">
        <w:tc>
          <w:tcPr>
            <w:tcW w:w="4131"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3A7016A1" w14:textId="77777777" w:rsidR="00E4501B" w:rsidRPr="007706F5" w:rsidRDefault="00E4501B" w:rsidP="001A48CE">
            <w:pPr>
              <w:rPr>
                <w:rFonts w:ascii="Arial" w:hAnsi="Arial" w:cs="Arial"/>
                <w:b/>
                <w:bCs/>
                <w:color w:val="000000"/>
                <w:sz w:val="16"/>
                <w:szCs w:val="16"/>
              </w:rPr>
            </w:pPr>
            <w:r w:rsidRPr="007706F5">
              <w:rPr>
                <w:rFonts w:ascii="Arial" w:hAnsi="Arial" w:cs="Arial"/>
                <w:b/>
                <w:bCs/>
                <w:color w:val="000000"/>
                <w:sz w:val="16"/>
                <w:szCs w:val="16"/>
              </w:rPr>
              <w:t>Indicator</w:t>
            </w:r>
            <w:r w:rsidRPr="007706F5">
              <w:rPr>
                <w:rStyle w:val="FootnoteReference"/>
                <w:rFonts w:ascii="Arial" w:hAnsi="Arial" w:cs="Arial"/>
                <w:b/>
                <w:bCs/>
                <w:color w:val="000000"/>
              </w:rPr>
              <w:footnoteReference w:id="13"/>
            </w:r>
          </w:p>
        </w:tc>
        <w:tc>
          <w:tcPr>
            <w:tcW w:w="2236" w:type="dxa"/>
            <w:tcBorders>
              <w:top w:val="single" w:sz="8" w:space="0" w:color="auto"/>
              <w:left w:val="nil"/>
              <w:bottom w:val="single" w:sz="8" w:space="0" w:color="auto"/>
              <w:right w:val="single" w:sz="8" w:space="0" w:color="auto"/>
            </w:tcBorders>
            <w:shd w:val="clear" w:color="auto" w:fill="8EAADB" w:themeFill="accent1" w:themeFillTint="99"/>
            <w:tcMar>
              <w:top w:w="0" w:type="dxa"/>
              <w:left w:w="108" w:type="dxa"/>
              <w:bottom w:w="0" w:type="dxa"/>
              <w:right w:w="108" w:type="dxa"/>
            </w:tcMar>
            <w:vAlign w:val="center"/>
            <w:hideMark/>
          </w:tcPr>
          <w:p w14:paraId="7920F554" w14:textId="77777777" w:rsidR="00E4501B" w:rsidRPr="007706F5" w:rsidRDefault="00E4501B" w:rsidP="001A48CE">
            <w:pPr>
              <w:rPr>
                <w:rFonts w:ascii="Arial" w:hAnsi="Arial" w:cs="Arial"/>
                <w:b/>
                <w:bCs/>
                <w:color w:val="000000"/>
                <w:sz w:val="16"/>
                <w:szCs w:val="16"/>
              </w:rPr>
            </w:pPr>
            <w:r w:rsidRPr="007706F5">
              <w:rPr>
                <w:rFonts w:ascii="Arial" w:hAnsi="Arial" w:cs="Arial"/>
                <w:b/>
                <w:bCs/>
                <w:color w:val="000000"/>
                <w:sz w:val="16"/>
                <w:szCs w:val="16"/>
              </w:rPr>
              <w:t>Annual rate 2018-2019</w:t>
            </w:r>
          </w:p>
        </w:tc>
        <w:tc>
          <w:tcPr>
            <w:tcW w:w="1985" w:type="dxa"/>
            <w:tcBorders>
              <w:top w:val="single" w:sz="8" w:space="0" w:color="auto"/>
              <w:left w:val="nil"/>
              <w:bottom w:val="single" w:sz="8" w:space="0" w:color="auto"/>
              <w:right w:val="single" w:sz="8" w:space="0" w:color="auto"/>
            </w:tcBorders>
            <w:shd w:val="clear" w:color="auto" w:fill="8EAADB" w:themeFill="accent1" w:themeFillTint="99"/>
            <w:vAlign w:val="center"/>
          </w:tcPr>
          <w:p w14:paraId="0070855D" w14:textId="77777777" w:rsidR="00E4501B" w:rsidRPr="007706F5" w:rsidRDefault="00E4501B" w:rsidP="001A48CE">
            <w:pPr>
              <w:rPr>
                <w:rFonts w:ascii="Arial" w:hAnsi="Arial" w:cs="Arial"/>
                <w:b/>
                <w:bCs/>
                <w:color w:val="000000"/>
                <w:sz w:val="16"/>
                <w:szCs w:val="16"/>
              </w:rPr>
            </w:pPr>
            <w:r w:rsidRPr="007706F5">
              <w:rPr>
                <w:rFonts w:ascii="Arial" w:hAnsi="Arial" w:cs="Arial"/>
                <w:b/>
                <w:bCs/>
                <w:color w:val="000000"/>
                <w:sz w:val="16"/>
                <w:szCs w:val="16"/>
              </w:rPr>
              <w:t>Annual rate 2019-2020</w:t>
            </w:r>
          </w:p>
        </w:tc>
        <w:tc>
          <w:tcPr>
            <w:tcW w:w="992" w:type="dxa"/>
            <w:tcBorders>
              <w:top w:val="single" w:sz="8" w:space="0" w:color="auto"/>
              <w:left w:val="nil"/>
              <w:bottom w:val="single" w:sz="8" w:space="0" w:color="auto"/>
              <w:right w:val="single" w:sz="8" w:space="0" w:color="auto"/>
            </w:tcBorders>
            <w:shd w:val="clear" w:color="auto" w:fill="8EAADB" w:themeFill="accent1" w:themeFillTint="99"/>
          </w:tcPr>
          <w:p w14:paraId="77B8FF59" w14:textId="77777777" w:rsidR="00E4501B" w:rsidRPr="007706F5" w:rsidRDefault="00E4501B" w:rsidP="001A48CE">
            <w:pPr>
              <w:rPr>
                <w:rFonts w:ascii="Arial" w:hAnsi="Arial" w:cs="Arial"/>
                <w:b/>
                <w:bCs/>
                <w:color w:val="000000"/>
                <w:sz w:val="16"/>
                <w:szCs w:val="16"/>
              </w:rPr>
            </w:pPr>
            <w:r w:rsidRPr="007706F5">
              <w:rPr>
                <w:rFonts w:ascii="Arial" w:hAnsi="Arial" w:cs="Arial"/>
                <w:b/>
                <w:bCs/>
                <w:color w:val="000000"/>
                <w:sz w:val="16"/>
                <w:szCs w:val="16"/>
              </w:rPr>
              <w:t>Projected growth</w:t>
            </w:r>
            <w:r w:rsidRPr="007706F5">
              <w:rPr>
                <w:rStyle w:val="FootnoteReference"/>
                <w:rFonts w:ascii="Arial" w:hAnsi="Arial" w:cs="Arial"/>
                <w:b/>
                <w:bCs/>
                <w:color w:val="000000"/>
              </w:rPr>
              <w:footnoteReference w:id="14"/>
            </w:r>
          </w:p>
        </w:tc>
      </w:tr>
      <w:tr w:rsidR="00E4501B" w:rsidRPr="007706F5" w14:paraId="12E8F87A"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30140FD6"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xml:space="preserve">Average Weekly Ordinary Time Earnings (a) </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hideMark/>
          </w:tcPr>
          <w:p w14:paraId="0CB06301"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w:t>
            </w:r>
          </w:p>
        </w:tc>
        <w:tc>
          <w:tcPr>
            <w:tcW w:w="1985" w:type="dxa"/>
            <w:tcBorders>
              <w:top w:val="nil"/>
              <w:left w:val="nil"/>
              <w:bottom w:val="nil"/>
              <w:right w:val="single" w:sz="8" w:space="0" w:color="auto"/>
            </w:tcBorders>
            <w:shd w:val="clear" w:color="auto" w:fill="FFFFFF" w:themeFill="background1"/>
          </w:tcPr>
          <w:p w14:paraId="65D2E42B" w14:textId="77777777" w:rsidR="00E4501B" w:rsidRPr="007706F5" w:rsidRDefault="00E4501B" w:rsidP="001A48CE">
            <w:pPr>
              <w:rPr>
                <w:rFonts w:ascii="Arial" w:hAnsi="Arial" w:cs="Arial"/>
                <w:color w:val="000000"/>
                <w:sz w:val="16"/>
                <w:szCs w:val="16"/>
              </w:rPr>
            </w:pPr>
          </w:p>
        </w:tc>
        <w:tc>
          <w:tcPr>
            <w:tcW w:w="992" w:type="dxa"/>
            <w:tcBorders>
              <w:top w:val="nil"/>
              <w:left w:val="nil"/>
              <w:bottom w:val="nil"/>
              <w:right w:val="single" w:sz="8" w:space="0" w:color="auto"/>
            </w:tcBorders>
            <w:shd w:val="clear" w:color="auto" w:fill="FFFFFF" w:themeFill="background1"/>
          </w:tcPr>
          <w:p w14:paraId="66883869" w14:textId="77777777" w:rsidR="00E4501B" w:rsidRPr="007706F5" w:rsidRDefault="00E4501B" w:rsidP="001A48CE">
            <w:pPr>
              <w:rPr>
                <w:rFonts w:ascii="Arial" w:hAnsi="Arial" w:cs="Arial"/>
                <w:color w:val="000000"/>
                <w:sz w:val="16"/>
                <w:szCs w:val="16"/>
              </w:rPr>
            </w:pPr>
          </w:p>
        </w:tc>
      </w:tr>
      <w:tr w:rsidR="00E4501B" w:rsidRPr="007706F5" w14:paraId="42F9EE47"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0E911C1E"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Australia</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6FF05C6C"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2.29</w:t>
            </w:r>
          </w:p>
        </w:tc>
        <w:tc>
          <w:tcPr>
            <w:tcW w:w="1985" w:type="dxa"/>
            <w:tcBorders>
              <w:top w:val="nil"/>
              <w:left w:val="nil"/>
              <w:bottom w:val="nil"/>
              <w:right w:val="single" w:sz="8" w:space="0" w:color="auto"/>
            </w:tcBorders>
            <w:shd w:val="clear" w:color="auto" w:fill="FFFFFF" w:themeFill="background1"/>
          </w:tcPr>
          <w:p w14:paraId="73169DE8"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3.29</w:t>
            </w:r>
          </w:p>
        </w:tc>
        <w:tc>
          <w:tcPr>
            <w:tcW w:w="992" w:type="dxa"/>
            <w:tcBorders>
              <w:top w:val="nil"/>
              <w:left w:val="nil"/>
              <w:bottom w:val="nil"/>
              <w:right w:val="single" w:sz="8" w:space="0" w:color="auto"/>
            </w:tcBorders>
            <w:shd w:val="clear" w:color="auto" w:fill="FFFFFF" w:themeFill="background1"/>
          </w:tcPr>
          <w:p w14:paraId="45B4C517"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622E0B09" w14:textId="77777777" w:rsidTr="0054175F">
        <w:tc>
          <w:tcPr>
            <w:tcW w:w="41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936FB5A"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xml:space="preserve">- Queensland </w:t>
            </w:r>
          </w:p>
        </w:tc>
        <w:tc>
          <w:tcPr>
            <w:tcW w:w="22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D557235"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3.02</w:t>
            </w:r>
          </w:p>
        </w:tc>
        <w:tc>
          <w:tcPr>
            <w:tcW w:w="1985" w:type="dxa"/>
            <w:tcBorders>
              <w:top w:val="nil"/>
              <w:left w:val="nil"/>
              <w:bottom w:val="single" w:sz="8" w:space="0" w:color="auto"/>
              <w:right w:val="single" w:sz="8" w:space="0" w:color="auto"/>
            </w:tcBorders>
            <w:shd w:val="clear" w:color="auto" w:fill="FFFFFF" w:themeFill="background1"/>
          </w:tcPr>
          <w:p w14:paraId="720B0BCE"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2.24</w:t>
            </w:r>
          </w:p>
        </w:tc>
        <w:tc>
          <w:tcPr>
            <w:tcW w:w="992" w:type="dxa"/>
            <w:tcBorders>
              <w:top w:val="nil"/>
              <w:left w:val="nil"/>
              <w:bottom w:val="single" w:sz="8" w:space="0" w:color="auto"/>
              <w:right w:val="single" w:sz="8" w:space="0" w:color="auto"/>
            </w:tcBorders>
            <w:shd w:val="clear" w:color="auto" w:fill="FFFFFF" w:themeFill="background1"/>
          </w:tcPr>
          <w:p w14:paraId="2CD0D2A7"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47E702A7" w14:textId="77777777" w:rsidTr="0054175F">
        <w:tc>
          <w:tcPr>
            <w:tcW w:w="41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B6A4538"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Consumer Price Index (b)</w:t>
            </w:r>
          </w:p>
        </w:tc>
        <w:tc>
          <w:tcPr>
            <w:tcW w:w="22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6EE2CDD" w14:textId="0F67F449"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1.</w:t>
            </w:r>
            <w:r w:rsidR="001A6BE2" w:rsidRPr="007706F5">
              <w:rPr>
                <w:rFonts w:ascii="Arial" w:hAnsi="Arial" w:cs="Arial"/>
                <w:color w:val="000000"/>
                <w:sz w:val="16"/>
                <w:szCs w:val="16"/>
              </w:rPr>
              <w:t>68</w:t>
            </w:r>
          </w:p>
        </w:tc>
        <w:tc>
          <w:tcPr>
            <w:tcW w:w="1985" w:type="dxa"/>
            <w:tcBorders>
              <w:top w:val="nil"/>
              <w:left w:val="nil"/>
              <w:bottom w:val="single" w:sz="8" w:space="0" w:color="auto"/>
              <w:right w:val="single" w:sz="8" w:space="0" w:color="auto"/>
            </w:tcBorders>
            <w:shd w:val="clear" w:color="auto" w:fill="FFFFFF" w:themeFill="background1"/>
          </w:tcPr>
          <w:p w14:paraId="0A3C0AFB" w14:textId="4DA6F813" w:rsidR="00E4501B" w:rsidRPr="007706F5" w:rsidRDefault="00AB1626" w:rsidP="001A48CE">
            <w:pPr>
              <w:jc w:val="center"/>
              <w:rPr>
                <w:rFonts w:ascii="Arial" w:hAnsi="Arial" w:cs="Arial"/>
                <w:color w:val="000000"/>
                <w:sz w:val="16"/>
                <w:szCs w:val="16"/>
              </w:rPr>
            </w:pPr>
            <w:r w:rsidRPr="007706F5">
              <w:rPr>
                <w:rFonts w:ascii="Arial" w:hAnsi="Arial" w:cs="Arial"/>
                <w:color w:val="000000"/>
                <w:sz w:val="16"/>
                <w:szCs w:val="16"/>
              </w:rPr>
              <w:t>-1.05</w:t>
            </w:r>
          </w:p>
        </w:tc>
        <w:tc>
          <w:tcPr>
            <w:tcW w:w="992" w:type="dxa"/>
            <w:tcBorders>
              <w:top w:val="nil"/>
              <w:left w:val="nil"/>
              <w:bottom w:val="single" w:sz="8" w:space="0" w:color="auto"/>
              <w:right w:val="single" w:sz="8" w:space="0" w:color="auto"/>
            </w:tcBorders>
            <w:shd w:val="clear" w:color="auto" w:fill="FFFFFF" w:themeFill="background1"/>
          </w:tcPr>
          <w:p w14:paraId="3C7DF9DA"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4EDE1994"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045D8E13"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Wage Price Index (c)</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1420145F" w14:textId="77777777" w:rsidR="00E4501B" w:rsidRPr="007706F5" w:rsidRDefault="00E4501B" w:rsidP="001A48CE">
            <w:pPr>
              <w:jc w:val="center"/>
              <w:rPr>
                <w:rFonts w:ascii="Arial" w:hAnsi="Arial" w:cs="Arial"/>
                <w:color w:val="000000"/>
                <w:sz w:val="16"/>
                <w:szCs w:val="16"/>
              </w:rPr>
            </w:pPr>
          </w:p>
        </w:tc>
        <w:tc>
          <w:tcPr>
            <w:tcW w:w="1985" w:type="dxa"/>
            <w:tcBorders>
              <w:top w:val="nil"/>
              <w:left w:val="nil"/>
              <w:bottom w:val="nil"/>
              <w:right w:val="single" w:sz="8" w:space="0" w:color="auto"/>
            </w:tcBorders>
            <w:shd w:val="clear" w:color="auto" w:fill="FFFFFF" w:themeFill="background1"/>
          </w:tcPr>
          <w:p w14:paraId="2DBA2D18" w14:textId="77777777" w:rsidR="00E4501B" w:rsidRPr="007706F5" w:rsidRDefault="00E4501B" w:rsidP="001A48CE">
            <w:pPr>
              <w:jc w:val="center"/>
              <w:rPr>
                <w:rFonts w:ascii="Arial" w:hAnsi="Arial" w:cs="Arial"/>
                <w:color w:val="000000"/>
                <w:sz w:val="16"/>
                <w:szCs w:val="16"/>
              </w:rPr>
            </w:pPr>
          </w:p>
        </w:tc>
        <w:tc>
          <w:tcPr>
            <w:tcW w:w="992" w:type="dxa"/>
            <w:tcBorders>
              <w:top w:val="nil"/>
              <w:left w:val="nil"/>
              <w:bottom w:val="nil"/>
              <w:right w:val="single" w:sz="8" w:space="0" w:color="auto"/>
            </w:tcBorders>
            <w:shd w:val="clear" w:color="auto" w:fill="FFFFFF" w:themeFill="background1"/>
          </w:tcPr>
          <w:p w14:paraId="5A60CE7B" w14:textId="77777777" w:rsidR="00E4501B" w:rsidRPr="007706F5" w:rsidRDefault="00E4501B" w:rsidP="001A48CE">
            <w:pPr>
              <w:jc w:val="center"/>
              <w:rPr>
                <w:rFonts w:ascii="Arial" w:hAnsi="Arial" w:cs="Arial"/>
                <w:color w:val="000000"/>
                <w:sz w:val="16"/>
                <w:szCs w:val="16"/>
              </w:rPr>
            </w:pPr>
          </w:p>
        </w:tc>
      </w:tr>
      <w:tr w:rsidR="00E4501B" w:rsidRPr="007706F5" w14:paraId="1A1F5F50"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398814E3"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Private Sector</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3496254D"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2.28</w:t>
            </w:r>
          </w:p>
        </w:tc>
        <w:tc>
          <w:tcPr>
            <w:tcW w:w="1985" w:type="dxa"/>
            <w:tcBorders>
              <w:top w:val="nil"/>
              <w:left w:val="nil"/>
              <w:bottom w:val="nil"/>
              <w:right w:val="single" w:sz="8" w:space="0" w:color="auto"/>
            </w:tcBorders>
            <w:shd w:val="clear" w:color="auto" w:fill="FFFFFF" w:themeFill="background1"/>
          </w:tcPr>
          <w:p w14:paraId="7F21D6D5"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2.00</w:t>
            </w:r>
          </w:p>
        </w:tc>
        <w:tc>
          <w:tcPr>
            <w:tcW w:w="992" w:type="dxa"/>
            <w:tcBorders>
              <w:top w:val="nil"/>
              <w:left w:val="nil"/>
              <w:bottom w:val="nil"/>
              <w:right w:val="single" w:sz="8" w:space="0" w:color="auto"/>
            </w:tcBorders>
            <w:shd w:val="clear" w:color="auto" w:fill="FFFFFF" w:themeFill="background1"/>
          </w:tcPr>
          <w:p w14:paraId="503B9DBE"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2370524D" w14:textId="77777777" w:rsidTr="0054175F">
        <w:tc>
          <w:tcPr>
            <w:tcW w:w="41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0983902"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 Public Sector</w:t>
            </w:r>
          </w:p>
        </w:tc>
        <w:tc>
          <w:tcPr>
            <w:tcW w:w="22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ACFDD5E"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2.44</w:t>
            </w:r>
          </w:p>
        </w:tc>
        <w:tc>
          <w:tcPr>
            <w:tcW w:w="1985" w:type="dxa"/>
            <w:tcBorders>
              <w:top w:val="nil"/>
              <w:left w:val="nil"/>
              <w:bottom w:val="single" w:sz="8" w:space="0" w:color="auto"/>
              <w:right w:val="single" w:sz="8" w:space="0" w:color="auto"/>
            </w:tcBorders>
            <w:shd w:val="clear" w:color="auto" w:fill="FFFFFF" w:themeFill="background1"/>
          </w:tcPr>
          <w:p w14:paraId="036C183F"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2.23</w:t>
            </w:r>
          </w:p>
        </w:tc>
        <w:tc>
          <w:tcPr>
            <w:tcW w:w="992" w:type="dxa"/>
            <w:tcBorders>
              <w:top w:val="nil"/>
              <w:left w:val="nil"/>
              <w:bottom w:val="single" w:sz="8" w:space="0" w:color="auto"/>
              <w:right w:val="single" w:sz="8" w:space="0" w:color="auto"/>
            </w:tcBorders>
            <w:shd w:val="clear" w:color="auto" w:fill="FFFFFF" w:themeFill="background1"/>
          </w:tcPr>
          <w:p w14:paraId="64EAEC18"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69279DA2"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271217EF"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Queensland’s projected economic growth (d)</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7C2CFBFF" w14:textId="77777777" w:rsidR="00E4501B" w:rsidRPr="007706F5" w:rsidRDefault="00E4501B" w:rsidP="001A48CE">
            <w:pPr>
              <w:jc w:val="center"/>
              <w:rPr>
                <w:rFonts w:ascii="Arial" w:hAnsi="Arial" w:cs="Arial"/>
                <w:b/>
                <w:bCs/>
                <w:color w:val="000000"/>
                <w:sz w:val="16"/>
                <w:szCs w:val="16"/>
              </w:rPr>
            </w:pPr>
          </w:p>
        </w:tc>
        <w:tc>
          <w:tcPr>
            <w:tcW w:w="1985" w:type="dxa"/>
            <w:tcBorders>
              <w:top w:val="nil"/>
              <w:left w:val="nil"/>
              <w:bottom w:val="nil"/>
              <w:right w:val="single" w:sz="8" w:space="0" w:color="auto"/>
            </w:tcBorders>
            <w:shd w:val="clear" w:color="auto" w:fill="FFFFFF" w:themeFill="background1"/>
          </w:tcPr>
          <w:p w14:paraId="64CC4D1C" w14:textId="77777777" w:rsidR="00E4501B" w:rsidRPr="007706F5" w:rsidRDefault="00E4501B" w:rsidP="001A48CE">
            <w:pPr>
              <w:jc w:val="center"/>
              <w:rPr>
                <w:rFonts w:ascii="Arial" w:hAnsi="Arial" w:cs="Arial"/>
                <w:b/>
                <w:bCs/>
                <w:color w:val="000000"/>
                <w:sz w:val="16"/>
                <w:szCs w:val="16"/>
              </w:rPr>
            </w:pPr>
          </w:p>
        </w:tc>
        <w:tc>
          <w:tcPr>
            <w:tcW w:w="992" w:type="dxa"/>
            <w:tcBorders>
              <w:top w:val="nil"/>
              <w:left w:val="nil"/>
              <w:bottom w:val="nil"/>
              <w:right w:val="single" w:sz="8" w:space="0" w:color="auto"/>
            </w:tcBorders>
            <w:shd w:val="clear" w:color="auto" w:fill="FFFFFF" w:themeFill="background1"/>
          </w:tcPr>
          <w:p w14:paraId="0CB72589" w14:textId="77777777" w:rsidR="00E4501B" w:rsidRPr="007706F5" w:rsidRDefault="00E4501B" w:rsidP="001A48CE">
            <w:pPr>
              <w:jc w:val="center"/>
              <w:rPr>
                <w:rFonts w:ascii="Arial" w:hAnsi="Arial" w:cs="Arial"/>
                <w:b/>
                <w:bCs/>
                <w:color w:val="000000"/>
                <w:sz w:val="16"/>
                <w:szCs w:val="16"/>
              </w:rPr>
            </w:pPr>
          </w:p>
        </w:tc>
      </w:tr>
      <w:tr w:rsidR="00E4501B" w:rsidRPr="007706F5" w14:paraId="45849872"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2FD737C7" w14:textId="77777777" w:rsidR="00E4501B" w:rsidRPr="007706F5" w:rsidRDefault="00E4501B" w:rsidP="001A48CE">
            <w:pPr>
              <w:ind w:firstLine="800"/>
              <w:rPr>
                <w:rFonts w:ascii="Arial" w:hAnsi="Arial" w:cs="Arial"/>
                <w:color w:val="000000"/>
                <w:sz w:val="16"/>
                <w:szCs w:val="16"/>
              </w:rPr>
            </w:pPr>
            <w:r w:rsidRPr="007706F5">
              <w:rPr>
                <w:rFonts w:ascii="Arial" w:hAnsi="Arial" w:cs="Arial"/>
                <w:color w:val="000000"/>
                <w:sz w:val="16"/>
                <w:szCs w:val="16"/>
              </w:rPr>
              <w:t>-          2020 - 2021</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6E83A4A8"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c>
          <w:tcPr>
            <w:tcW w:w="1985" w:type="dxa"/>
            <w:tcBorders>
              <w:top w:val="nil"/>
              <w:left w:val="nil"/>
              <w:bottom w:val="nil"/>
              <w:right w:val="single" w:sz="8" w:space="0" w:color="auto"/>
            </w:tcBorders>
            <w:shd w:val="clear" w:color="auto" w:fill="FFFFFF" w:themeFill="background1"/>
          </w:tcPr>
          <w:p w14:paraId="4B50B94A"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c>
          <w:tcPr>
            <w:tcW w:w="992" w:type="dxa"/>
            <w:tcBorders>
              <w:top w:val="nil"/>
              <w:left w:val="nil"/>
              <w:bottom w:val="nil"/>
              <w:right w:val="single" w:sz="8" w:space="0" w:color="auto"/>
            </w:tcBorders>
            <w:shd w:val="clear" w:color="auto" w:fill="FFFFFF" w:themeFill="background1"/>
          </w:tcPr>
          <w:p w14:paraId="72E13A40"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13C8B1A3" w14:textId="77777777" w:rsidTr="0054175F">
        <w:tc>
          <w:tcPr>
            <w:tcW w:w="413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D9162C" w14:textId="77777777" w:rsidR="00E4501B" w:rsidRPr="007706F5" w:rsidRDefault="00E4501B" w:rsidP="001A48CE">
            <w:pPr>
              <w:ind w:firstLine="800"/>
              <w:rPr>
                <w:rFonts w:ascii="Arial" w:hAnsi="Arial" w:cs="Arial"/>
                <w:color w:val="000000"/>
                <w:sz w:val="16"/>
                <w:szCs w:val="16"/>
              </w:rPr>
            </w:pPr>
            <w:r w:rsidRPr="007706F5">
              <w:rPr>
                <w:rFonts w:ascii="Arial" w:hAnsi="Arial" w:cs="Arial"/>
                <w:color w:val="000000"/>
                <w:sz w:val="16"/>
                <w:szCs w:val="16"/>
              </w:rPr>
              <w:t>-          2021 - 2022</w:t>
            </w:r>
          </w:p>
        </w:tc>
        <w:tc>
          <w:tcPr>
            <w:tcW w:w="223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53457C5" w14:textId="77777777" w:rsidR="00E4501B" w:rsidRPr="007706F5" w:rsidRDefault="00E4501B" w:rsidP="001A48CE">
            <w:pPr>
              <w:jc w:val="center"/>
              <w:rPr>
                <w:rFonts w:ascii="Arial" w:hAnsi="Arial" w:cs="Arial"/>
                <w:color w:val="000000"/>
                <w:sz w:val="16"/>
                <w:szCs w:val="16"/>
              </w:rPr>
            </w:pPr>
          </w:p>
        </w:tc>
        <w:tc>
          <w:tcPr>
            <w:tcW w:w="1985" w:type="dxa"/>
            <w:tcBorders>
              <w:top w:val="nil"/>
              <w:left w:val="nil"/>
              <w:bottom w:val="single" w:sz="8" w:space="0" w:color="auto"/>
              <w:right w:val="single" w:sz="8" w:space="0" w:color="auto"/>
            </w:tcBorders>
            <w:shd w:val="clear" w:color="auto" w:fill="FFFFFF" w:themeFill="background1"/>
          </w:tcPr>
          <w:p w14:paraId="04180CD7" w14:textId="77777777" w:rsidR="00E4501B" w:rsidRPr="007706F5" w:rsidRDefault="00E4501B" w:rsidP="001A48CE">
            <w:pPr>
              <w:jc w:val="center"/>
              <w:rPr>
                <w:rFonts w:ascii="Arial" w:hAnsi="Arial" w:cs="Arial"/>
                <w:color w:val="000000"/>
                <w:sz w:val="16"/>
                <w:szCs w:val="16"/>
              </w:rPr>
            </w:pPr>
          </w:p>
        </w:tc>
        <w:tc>
          <w:tcPr>
            <w:tcW w:w="992" w:type="dxa"/>
            <w:tcBorders>
              <w:top w:val="nil"/>
              <w:left w:val="nil"/>
              <w:bottom w:val="single" w:sz="8" w:space="0" w:color="auto"/>
              <w:right w:val="single" w:sz="8" w:space="0" w:color="auto"/>
            </w:tcBorders>
            <w:shd w:val="clear" w:color="auto" w:fill="FFFFFF" w:themeFill="background1"/>
          </w:tcPr>
          <w:p w14:paraId="29B159A4"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7706F5" w14:paraId="133DFB19" w14:textId="77777777" w:rsidTr="0054175F">
        <w:tc>
          <w:tcPr>
            <w:tcW w:w="4131"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hideMark/>
          </w:tcPr>
          <w:p w14:paraId="15537184" w14:textId="77777777" w:rsidR="00E4501B" w:rsidRPr="007706F5" w:rsidRDefault="00E4501B" w:rsidP="001A48CE">
            <w:pPr>
              <w:rPr>
                <w:rFonts w:ascii="Arial" w:hAnsi="Arial" w:cs="Arial"/>
                <w:color w:val="000000"/>
                <w:sz w:val="16"/>
                <w:szCs w:val="16"/>
              </w:rPr>
            </w:pPr>
            <w:r w:rsidRPr="007706F5">
              <w:rPr>
                <w:rFonts w:ascii="Arial" w:hAnsi="Arial" w:cs="Arial"/>
                <w:color w:val="000000"/>
                <w:sz w:val="16"/>
                <w:szCs w:val="16"/>
              </w:rPr>
              <w:t>Queensland Government indexation rates</w:t>
            </w:r>
          </w:p>
        </w:tc>
        <w:tc>
          <w:tcPr>
            <w:tcW w:w="2236" w:type="dxa"/>
            <w:tcBorders>
              <w:top w:val="nil"/>
              <w:left w:val="nil"/>
              <w:bottom w:val="nil"/>
              <w:right w:val="single" w:sz="8" w:space="0" w:color="auto"/>
            </w:tcBorders>
            <w:shd w:val="clear" w:color="auto" w:fill="FFFFFF" w:themeFill="background1"/>
            <w:tcMar>
              <w:top w:w="0" w:type="dxa"/>
              <w:left w:w="108" w:type="dxa"/>
              <w:bottom w:w="0" w:type="dxa"/>
              <w:right w:w="108" w:type="dxa"/>
            </w:tcMar>
            <w:vAlign w:val="center"/>
          </w:tcPr>
          <w:p w14:paraId="3D368A61" w14:textId="77777777" w:rsidR="00E4501B" w:rsidRPr="007706F5" w:rsidRDefault="00E4501B" w:rsidP="001A48CE">
            <w:pPr>
              <w:jc w:val="center"/>
              <w:rPr>
                <w:rFonts w:ascii="Arial" w:hAnsi="Arial" w:cs="Arial"/>
                <w:b/>
                <w:bCs/>
                <w:color w:val="000000"/>
                <w:sz w:val="16"/>
                <w:szCs w:val="16"/>
              </w:rPr>
            </w:pPr>
          </w:p>
        </w:tc>
        <w:tc>
          <w:tcPr>
            <w:tcW w:w="1985" w:type="dxa"/>
            <w:tcBorders>
              <w:top w:val="nil"/>
              <w:left w:val="nil"/>
              <w:bottom w:val="nil"/>
              <w:right w:val="single" w:sz="8" w:space="0" w:color="auto"/>
            </w:tcBorders>
            <w:shd w:val="clear" w:color="auto" w:fill="FFFFFF" w:themeFill="background1"/>
          </w:tcPr>
          <w:p w14:paraId="70677245" w14:textId="77777777" w:rsidR="00E4501B" w:rsidRPr="007706F5" w:rsidRDefault="00E4501B" w:rsidP="001A48CE">
            <w:pPr>
              <w:jc w:val="center"/>
              <w:rPr>
                <w:rFonts w:ascii="Arial" w:hAnsi="Arial" w:cs="Arial"/>
                <w:b/>
                <w:bCs/>
                <w:color w:val="000000"/>
                <w:sz w:val="16"/>
                <w:szCs w:val="16"/>
              </w:rPr>
            </w:pPr>
          </w:p>
        </w:tc>
        <w:tc>
          <w:tcPr>
            <w:tcW w:w="992" w:type="dxa"/>
            <w:tcBorders>
              <w:top w:val="nil"/>
              <w:left w:val="nil"/>
              <w:bottom w:val="nil"/>
              <w:right w:val="single" w:sz="8" w:space="0" w:color="auto"/>
            </w:tcBorders>
            <w:shd w:val="clear" w:color="auto" w:fill="FFFFFF" w:themeFill="background1"/>
          </w:tcPr>
          <w:p w14:paraId="4B97A266" w14:textId="77777777" w:rsidR="00E4501B" w:rsidRPr="007706F5" w:rsidRDefault="00E4501B" w:rsidP="001A48CE">
            <w:pPr>
              <w:jc w:val="center"/>
              <w:rPr>
                <w:rFonts w:ascii="Arial" w:hAnsi="Arial" w:cs="Arial"/>
                <w:b/>
                <w:bCs/>
                <w:color w:val="000000"/>
                <w:sz w:val="16"/>
                <w:szCs w:val="16"/>
              </w:rPr>
            </w:pPr>
          </w:p>
        </w:tc>
      </w:tr>
      <w:tr w:rsidR="00E4501B" w:rsidRPr="007706F5" w14:paraId="6B32530A" w14:textId="77777777" w:rsidTr="0054175F">
        <w:trPr>
          <w:trHeight w:val="397"/>
        </w:trPr>
        <w:tc>
          <w:tcPr>
            <w:tcW w:w="4131" w:type="dxa"/>
            <w:tcBorders>
              <w:top w:val="nil"/>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BD6B1F7" w14:textId="77777777" w:rsidR="00E4501B" w:rsidRPr="007706F5" w:rsidRDefault="00E4501B" w:rsidP="001A48CE">
            <w:pPr>
              <w:ind w:firstLine="800"/>
              <w:rPr>
                <w:rFonts w:ascii="Arial" w:hAnsi="Arial" w:cs="Arial"/>
                <w:color w:val="000000"/>
                <w:sz w:val="16"/>
                <w:szCs w:val="16"/>
              </w:rPr>
            </w:pPr>
            <w:r w:rsidRPr="007706F5">
              <w:rPr>
                <w:rFonts w:ascii="Arial" w:hAnsi="Arial" w:cs="Arial"/>
                <w:color w:val="000000"/>
                <w:sz w:val="16"/>
                <w:szCs w:val="16"/>
              </w:rPr>
              <w:t>-          Fees and charges (e)</w:t>
            </w:r>
          </w:p>
          <w:p w14:paraId="0676404D" w14:textId="77777777" w:rsidR="00E4501B" w:rsidRPr="007706F5" w:rsidRDefault="00E4501B" w:rsidP="001A48CE">
            <w:pPr>
              <w:ind w:firstLine="800"/>
              <w:rPr>
                <w:rFonts w:ascii="Arial" w:hAnsi="Arial" w:cs="Arial"/>
                <w:color w:val="000000"/>
                <w:sz w:val="16"/>
                <w:szCs w:val="16"/>
              </w:rPr>
            </w:pPr>
            <w:r w:rsidRPr="007706F5">
              <w:rPr>
                <w:rFonts w:ascii="Arial" w:hAnsi="Arial" w:cs="Arial"/>
                <w:color w:val="000000"/>
                <w:sz w:val="16"/>
                <w:szCs w:val="16"/>
              </w:rPr>
              <w:t>-          Community funding/grants</w:t>
            </w:r>
          </w:p>
        </w:tc>
        <w:tc>
          <w:tcPr>
            <w:tcW w:w="2236" w:type="dxa"/>
            <w:tcBorders>
              <w:top w:val="nil"/>
              <w:left w:val="nil"/>
              <w:right w:val="single" w:sz="8" w:space="0" w:color="auto"/>
            </w:tcBorders>
            <w:shd w:val="clear" w:color="auto" w:fill="FFFFFF" w:themeFill="background1"/>
            <w:tcMar>
              <w:top w:w="0" w:type="dxa"/>
              <w:left w:w="108" w:type="dxa"/>
              <w:bottom w:w="0" w:type="dxa"/>
              <w:right w:w="108" w:type="dxa"/>
            </w:tcMar>
            <w:vAlign w:val="center"/>
          </w:tcPr>
          <w:p w14:paraId="018D8F36"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2.5</w:t>
            </w:r>
          </w:p>
          <w:p w14:paraId="2EBBB7CD"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2.625</w:t>
            </w:r>
          </w:p>
        </w:tc>
        <w:tc>
          <w:tcPr>
            <w:tcW w:w="1985" w:type="dxa"/>
            <w:tcBorders>
              <w:top w:val="nil"/>
              <w:left w:val="nil"/>
              <w:right w:val="single" w:sz="8" w:space="0" w:color="auto"/>
            </w:tcBorders>
            <w:shd w:val="clear" w:color="auto" w:fill="FFFFFF" w:themeFill="background1"/>
          </w:tcPr>
          <w:p w14:paraId="7286FB41"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2.25</w:t>
            </w:r>
          </w:p>
          <w:p w14:paraId="3F61D267"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2.8125</w:t>
            </w:r>
          </w:p>
        </w:tc>
        <w:tc>
          <w:tcPr>
            <w:tcW w:w="992" w:type="dxa"/>
            <w:tcBorders>
              <w:top w:val="nil"/>
              <w:left w:val="nil"/>
              <w:right w:val="single" w:sz="8" w:space="0" w:color="auto"/>
            </w:tcBorders>
            <w:shd w:val="clear" w:color="auto" w:fill="FFFFFF" w:themeFill="background1"/>
          </w:tcPr>
          <w:p w14:paraId="26D19D4D"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1.8</w:t>
            </w:r>
          </w:p>
          <w:p w14:paraId="528C4B51" w14:textId="77777777" w:rsidR="00E4501B" w:rsidRPr="007706F5" w:rsidRDefault="00E4501B" w:rsidP="001A48CE">
            <w:pPr>
              <w:jc w:val="center"/>
              <w:rPr>
                <w:rFonts w:ascii="Arial" w:hAnsi="Arial" w:cs="Arial"/>
                <w:color w:val="000000"/>
                <w:sz w:val="16"/>
                <w:szCs w:val="16"/>
              </w:rPr>
            </w:pPr>
            <w:r w:rsidRPr="007706F5">
              <w:rPr>
                <w:rFonts w:ascii="Arial" w:hAnsi="Arial" w:cs="Arial"/>
                <w:color w:val="000000"/>
                <w:sz w:val="16"/>
                <w:szCs w:val="16"/>
              </w:rPr>
              <w:t>NA</w:t>
            </w:r>
          </w:p>
        </w:tc>
      </w:tr>
      <w:tr w:rsidR="00E4501B" w:rsidRPr="00C160B0" w14:paraId="395FC3FF" w14:textId="77777777" w:rsidTr="001A48CE">
        <w:tc>
          <w:tcPr>
            <w:tcW w:w="4131"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4A8A710" w14:textId="77777777" w:rsidR="00E4501B" w:rsidRPr="007706F5" w:rsidRDefault="00E4501B" w:rsidP="001A48CE">
            <w:pPr>
              <w:rPr>
                <w:rFonts w:ascii="Arial" w:hAnsi="Arial" w:cs="Arial"/>
                <w:b/>
                <w:color w:val="000000"/>
                <w:sz w:val="16"/>
                <w:szCs w:val="16"/>
              </w:rPr>
            </w:pPr>
            <w:r w:rsidRPr="007706F5">
              <w:rPr>
                <w:rFonts w:ascii="Arial" w:hAnsi="Arial" w:cs="Arial"/>
                <w:b/>
                <w:color w:val="000000"/>
                <w:sz w:val="16"/>
                <w:szCs w:val="16"/>
              </w:rPr>
              <w:t>Average</w:t>
            </w:r>
          </w:p>
        </w:tc>
        <w:tc>
          <w:tcPr>
            <w:tcW w:w="223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51DD12D" w14:textId="3FBE80C4" w:rsidR="00E4501B" w:rsidRPr="007706F5" w:rsidRDefault="00C1759D" w:rsidP="001A48CE">
            <w:pPr>
              <w:jc w:val="center"/>
              <w:rPr>
                <w:rFonts w:ascii="Arial" w:hAnsi="Arial" w:cs="Arial"/>
                <w:b/>
                <w:color w:val="000000"/>
                <w:sz w:val="16"/>
                <w:szCs w:val="16"/>
              </w:rPr>
            </w:pPr>
            <w:r w:rsidRPr="007706F5">
              <w:rPr>
                <w:rFonts w:ascii="Arial" w:hAnsi="Arial" w:cs="Arial"/>
                <w:b/>
                <w:color w:val="000000"/>
                <w:sz w:val="16"/>
                <w:szCs w:val="16"/>
              </w:rPr>
              <w:t>2.4</w:t>
            </w:r>
          </w:p>
        </w:tc>
        <w:tc>
          <w:tcPr>
            <w:tcW w:w="1985" w:type="dxa"/>
            <w:tcBorders>
              <w:top w:val="single" w:sz="8" w:space="0" w:color="auto"/>
              <w:left w:val="nil"/>
              <w:bottom w:val="single" w:sz="8" w:space="0" w:color="auto"/>
              <w:right w:val="single" w:sz="8" w:space="0" w:color="auto"/>
            </w:tcBorders>
            <w:shd w:val="clear" w:color="auto" w:fill="FFFFFF" w:themeFill="background1"/>
          </w:tcPr>
          <w:p w14:paraId="73EE864F" w14:textId="1A63AD91" w:rsidR="00E4501B" w:rsidRPr="007706F5" w:rsidRDefault="00C1759D" w:rsidP="001A48CE">
            <w:pPr>
              <w:jc w:val="center"/>
              <w:rPr>
                <w:rFonts w:ascii="Arial" w:hAnsi="Arial" w:cs="Arial"/>
                <w:b/>
                <w:color w:val="000000"/>
                <w:sz w:val="16"/>
                <w:szCs w:val="16"/>
              </w:rPr>
            </w:pPr>
            <w:r w:rsidRPr="007706F5">
              <w:rPr>
                <w:rFonts w:ascii="Arial" w:hAnsi="Arial" w:cs="Arial"/>
                <w:b/>
                <w:color w:val="000000"/>
                <w:sz w:val="16"/>
                <w:szCs w:val="16"/>
              </w:rPr>
              <w:t>1.97</w:t>
            </w:r>
          </w:p>
        </w:tc>
        <w:tc>
          <w:tcPr>
            <w:tcW w:w="992" w:type="dxa"/>
            <w:tcBorders>
              <w:top w:val="single" w:sz="8" w:space="0" w:color="auto"/>
              <w:left w:val="nil"/>
              <w:bottom w:val="single" w:sz="8" w:space="0" w:color="auto"/>
              <w:right w:val="single" w:sz="8" w:space="0" w:color="auto"/>
            </w:tcBorders>
            <w:shd w:val="clear" w:color="auto" w:fill="FFFFFF" w:themeFill="background1"/>
          </w:tcPr>
          <w:p w14:paraId="20A3722C" w14:textId="77777777" w:rsidR="00E4501B" w:rsidRPr="00C160B0" w:rsidRDefault="00E4501B" w:rsidP="001A48CE">
            <w:pPr>
              <w:jc w:val="center"/>
              <w:rPr>
                <w:rFonts w:ascii="Arial" w:hAnsi="Arial" w:cs="Arial"/>
                <w:b/>
                <w:color w:val="000000"/>
                <w:sz w:val="16"/>
                <w:szCs w:val="16"/>
              </w:rPr>
            </w:pPr>
            <w:r w:rsidRPr="007706F5">
              <w:rPr>
                <w:rFonts w:ascii="Arial" w:hAnsi="Arial" w:cs="Arial"/>
                <w:b/>
                <w:color w:val="000000"/>
                <w:sz w:val="16"/>
                <w:szCs w:val="16"/>
              </w:rPr>
              <w:t>NA</w:t>
            </w:r>
          </w:p>
        </w:tc>
      </w:tr>
    </w:tbl>
    <w:p w14:paraId="29EEE874" w14:textId="77777777" w:rsidR="00E4501B" w:rsidRDefault="00E4501B" w:rsidP="00E4501B"/>
    <w:p w14:paraId="2F3E825F" w14:textId="77777777" w:rsidR="00E4501B" w:rsidRPr="007F271C" w:rsidRDefault="00E4501B" w:rsidP="007F271C"/>
    <w:sectPr w:rsidR="00E4501B" w:rsidRPr="007F271C" w:rsidSect="006620BE">
      <w:headerReference w:type="even" r:id="rId18"/>
      <w:headerReference w:type="default" r:id="rId19"/>
      <w:headerReference w:type="first" r:id="rId20"/>
      <w:type w:val="continuous"/>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D8F3E" w14:textId="77777777" w:rsidR="00BC2F5F" w:rsidRDefault="00BC2F5F" w:rsidP="002C1443">
      <w:r>
        <w:separator/>
      </w:r>
    </w:p>
  </w:endnote>
  <w:endnote w:type="continuationSeparator" w:id="0">
    <w:p w14:paraId="0883CFAC" w14:textId="77777777" w:rsidR="00BC2F5F" w:rsidRDefault="00BC2F5F"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F63CD" w:rsidRDefault="007F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134586"/>
      <w:docPartObj>
        <w:docPartGallery w:val="Page Numbers (Bottom of Page)"/>
        <w:docPartUnique/>
      </w:docPartObj>
    </w:sdtPr>
    <w:sdtEndPr>
      <w:rPr>
        <w:color w:val="7F7F7F" w:themeColor="background1" w:themeShade="7F"/>
        <w:spacing w:val="60"/>
      </w:rPr>
    </w:sdtEndPr>
    <w:sdtContent>
      <w:p w14:paraId="5C123178"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73A6">
          <w:rPr>
            <w:noProof/>
          </w:rPr>
          <w:t>17</w:t>
        </w:r>
        <w:r>
          <w:rPr>
            <w:noProof/>
          </w:rPr>
          <w:fldChar w:fldCharType="end"/>
        </w:r>
        <w:r>
          <w:t xml:space="preserve"> | </w:t>
        </w:r>
        <w:r>
          <w:rPr>
            <w:color w:val="7F7F7F" w:themeColor="background1" w:themeShade="7F"/>
            <w:spacing w:val="60"/>
          </w:rPr>
          <w:t>Page</w:t>
        </w:r>
      </w:p>
    </w:sdtContent>
  </w:sdt>
  <w:p w14:paraId="4100B5EA" w14:textId="77777777" w:rsidR="007F63CD" w:rsidRDefault="007F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B437" w14:textId="77777777" w:rsidR="00BC2F5F" w:rsidRDefault="00BC2F5F" w:rsidP="002C1443">
      <w:r>
        <w:separator/>
      </w:r>
    </w:p>
  </w:footnote>
  <w:footnote w:type="continuationSeparator" w:id="0">
    <w:p w14:paraId="6D7D2ACA" w14:textId="77777777" w:rsidR="00BC2F5F" w:rsidRDefault="00BC2F5F" w:rsidP="002C1443">
      <w:r>
        <w:continuationSeparator/>
      </w:r>
    </w:p>
  </w:footnote>
  <w:footnote w:id="1">
    <w:p w14:paraId="0DCBECB2" w14:textId="427E4ECD" w:rsidR="007F63CD" w:rsidRDefault="007F63CD">
      <w:pPr>
        <w:pStyle w:val="FootnoteText"/>
      </w:pPr>
      <w:r>
        <w:rPr>
          <w:rStyle w:val="FootnoteReference"/>
        </w:rPr>
        <w:footnoteRef/>
      </w:r>
      <w:r>
        <w:t xml:space="preserve"> </w:t>
      </w:r>
      <w:r w:rsidRPr="00A12420">
        <w:rPr>
          <w:i/>
        </w:rPr>
        <w:t xml:space="preserve">Community Services Industry (Portable Long Service Leave) </w:t>
      </w:r>
      <w:r>
        <w:rPr>
          <w:i/>
        </w:rPr>
        <w:t>Act</w:t>
      </w:r>
      <w:r w:rsidRPr="00A12420">
        <w:rPr>
          <w:i/>
        </w:rPr>
        <w:t xml:space="preserve"> 2019</w:t>
      </w:r>
      <w:r>
        <w:t xml:space="preserve">. </w:t>
      </w:r>
    </w:p>
  </w:footnote>
  <w:footnote w:id="2">
    <w:p w14:paraId="68B7D411" w14:textId="2D1302F7"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Paragraph 2:  https://www.fwc.gov.au/documents/wage-reviews/2019-20/decisions/2020fwcfb3501.pdf</w:t>
      </w:r>
    </w:p>
  </w:footnote>
  <w:footnote w:id="3">
    <w:p w14:paraId="71537E3A" w14:textId="3533D53F"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Paragraph 14: https://www.fwc.gov.au/documents/wage-reviews/2019-20/decisions/2020fwcfb3501.pdf</w:t>
      </w:r>
    </w:p>
  </w:footnote>
  <w:footnote w:id="4">
    <w:p w14:paraId="713523DD" w14:textId="7E59732A"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Para 28, 29 and 31 of https://www.fwc.gov.au/documents/wage-reviews/2019-20/decisions/2020fwcfb3501.pdf</w:t>
      </w:r>
    </w:p>
  </w:footnote>
  <w:footnote w:id="5">
    <w:p w14:paraId="28C827C9" w14:textId="4D6C43ED"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https://www.rba.gov.au/monetary-policy/rba-board-minutes/2020/2020-06-02.html</w:t>
      </w:r>
    </w:p>
  </w:footnote>
  <w:footnote w:id="6">
    <w:p w14:paraId="606BFBD0" w14:textId="5956A9B5" w:rsidR="007F63CD" w:rsidRPr="0043297B" w:rsidRDefault="007F63CD" w:rsidP="00B3772A">
      <w:pPr>
        <w:keepNext/>
        <w:keepLines/>
        <w:rPr>
          <w:rFonts w:ascii="Arial" w:hAnsi="Arial" w:cs="Arial"/>
          <w:sz w:val="20"/>
          <w:szCs w:val="20"/>
        </w:rPr>
      </w:pPr>
      <w:r w:rsidRPr="0043297B">
        <w:rPr>
          <w:rFonts w:ascii="Arial" w:hAnsi="Arial" w:cs="Arial"/>
          <w:sz w:val="20"/>
          <w:szCs w:val="20"/>
        </w:rPr>
        <w:t xml:space="preserve">1 </w:t>
      </w:r>
      <w:r w:rsidRPr="0043297B">
        <w:rPr>
          <w:rFonts w:ascii="Arial" w:hAnsi="Arial" w:cs="Arial"/>
          <w:b/>
          <w:sz w:val="20"/>
          <w:szCs w:val="20"/>
        </w:rPr>
        <w:t>Notes:</w:t>
      </w:r>
      <w:r w:rsidRPr="0043297B">
        <w:rPr>
          <w:rFonts w:ascii="Arial" w:hAnsi="Arial" w:cs="Arial"/>
          <w:sz w:val="20"/>
          <w:szCs w:val="20"/>
        </w:rPr>
        <w:t xml:space="preserve"> a) Determination 18/2018 provided that given the geographic challenges identified for Callide, Burdekin and Southern Downs, these electorates are in </w:t>
      </w:r>
      <w:r>
        <w:rPr>
          <w:rFonts w:ascii="Arial" w:hAnsi="Arial" w:cs="Arial"/>
          <w:sz w:val="20"/>
          <w:szCs w:val="20"/>
        </w:rPr>
        <w:t>band</w:t>
      </w:r>
      <w:r w:rsidRPr="0043297B">
        <w:rPr>
          <w:rFonts w:ascii="Arial" w:hAnsi="Arial" w:cs="Arial"/>
          <w:sz w:val="20"/>
          <w:szCs w:val="20"/>
        </w:rPr>
        <w:t xml:space="preserve"> 4, despite the formula. </w:t>
      </w:r>
    </w:p>
    <w:p w14:paraId="29A84C88" w14:textId="77777777" w:rsidR="007F63CD" w:rsidRPr="0043297B" w:rsidRDefault="007F63CD" w:rsidP="00B3772A">
      <w:pPr>
        <w:rPr>
          <w:rFonts w:ascii="Arial" w:hAnsi="Arial" w:cs="Arial"/>
          <w:sz w:val="20"/>
          <w:szCs w:val="20"/>
        </w:rPr>
      </w:pPr>
      <w:r w:rsidRPr="0043297B">
        <w:rPr>
          <w:rFonts w:ascii="Arial" w:hAnsi="Arial" w:cs="Arial"/>
          <w:sz w:val="20"/>
          <w:szCs w:val="20"/>
        </w:rPr>
        <w:t xml:space="preserve">b) Electoral districts greater than 100,000sq km, which are provided with a second electorate office receive an additional $1500 per annum to supplement the ECA and address electorate office cleaning costs. </w:t>
      </w:r>
    </w:p>
  </w:footnote>
  <w:footnote w:id="7">
    <w:p w14:paraId="5F873AC2" w14:textId="1EA83C4E"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Determination 18/2018 provided that given the geographic challenges identified for Callide, Burdekin and Southern Downs, these electorates are in </w:t>
      </w:r>
      <w:r>
        <w:rPr>
          <w:rFonts w:ascii="Arial" w:hAnsi="Arial" w:cs="Arial"/>
        </w:rPr>
        <w:t>band</w:t>
      </w:r>
      <w:r w:rsidRPr="0043297B">
        <w:rPr>
          <w:rFonts w:ascii="Arial" w:hAnsi="Arial" w:cs="Arial"/>
        </w:rPr>
        <w:t xml:space="preserve"> 4, despite the formula. </w:t>
      </w:r>
    </w:p>
  </w:footnote>
  <w:footnote w:id="8">
    <w:p w14:paraId="1060E4F0" w14:textId="75DFCC92" w:rsidR="007F63CD" w:rsidRPr="0043297B" w:rsidRDefault="007F63CD">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Note</w:t>
      </w:r>
      <w:r w:rsidR="00CB794E">
        <w:rPr>
          <w:rFonts w:ascii="Arial" w:hAnsi="Arial" w:cs="Arial"/>
        </w:rPr>
        <w:t>:</w:t>
      </w:r>
      <w:r w:rsidRPr="0043297B">
        <w:rPr>
          <w:rFonts w:ascii="Arial" w:hAnsi="Arial" w:cs="Arial"/>
        </w:rPr>
        <w:t xml:space="preserve"> the figures for 2013 reflect the total of the combined former Information and Communication Allowance and Electorate Allowance amounts. </w:t>
      </w:r>
    </w:p>
  </w:footnote>
  <w:footnote w:id="9">
    <w:p w14:paraId="1817927F" w14:textId="176E7673" w:rsidR="007F63CD" w:rsidRDefault="007F63CD">
      <w:pPr>
        <w:pStyle w:val="FootnoteText"/>
      </w:pPr>
      <w:r>
        <w:rPr>
          <w:rStyle w:val="FootnoteReference"/>
        </w:rPr>
        <w:footnoteRef/>
      </w:r>
      <w:r>
        <w:t xml:space="preserve"> </w:t>
      </w:r>
      <w:r w:rsidRPr="00A81ED7">
        <w:rPr>
          <w:rFonts w:ascii="Arial" w:hAnsi="Arial" w:cs="Arial"/>
        </w:rPr>
        <w:t>Determination 20/2020.</w:t>
      </w:r>
    </w:p>
  </w:footnote>
  <w:footnote w:id="10">
    <w:p w14:paraId="7B006B24" w14:textId="77777777" w:rsidR="007F63CD" w:rsidRPr="0043297B" w:rsidRDefault="007F63CD" w:rsidP="0095144A">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https://www.ato.gov.au/law/view/pdf/pbr/td2019-011.pdf</w:t>
      </w:r>
    </w:p>
  </w:footnote>
  <w:footnote w:id="11">
    <w:p w14:paraId="4D58634F" w14:textId="77777777" w:rsidR="007F63CD" w:rsidRPr="0043297B" w:rsidRDefault="007F63CD" w:rsidP="00E4501B">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Data provided by the Queensland Government’s Statistician’s Office. </w:t>
      </w:r>
    </w:p>
  </w:footnote>
  <w:footnote w:id="12">
    <w:p w14:paraId="52E6BE3E" w14:textId="77777777" w:rsidR="007F63CD" w:rsidRPr="0043297B" w:rsidRDefault="007F63CD" w:rsidP="00E4501B">
      <w:pPr>
        <w:rPr>
          <w:rFonts w:ascii="Arial" w:eastAsia="Times New Roman" w:hAnsi="Arial" w:cs="Arial"/>
          <w:sz w:val="20"/>
          <w:szCs w:val="20"/>
        </w:rPr>
      </w:pPr>
      <w:r w:rsidRPr="0043297B">
        <w:rPr>
          <w:rStyle w:val="FootnoteReference"/>
          <w:rFonts w:ascii="Arial" w:hAnsi="Arial" w:cs="Arial"/>
          <w:sz w:val="20"/>
          <w:szCs w:val="20"/>
        </w:rPr>
        <w:footnoteRef/>
      </w:r>
      <w:r w:rsidRPr="0043297B">
        <w:rPr>
          <w:rFonts w:ascii="Arial" w:hAnsi="Arial" w:cs="Arial"/>
          <w:sz w:val="20"/>
          <w:szCs w:val="20"/>
        </w:rPr>
        <w:t xml:space="preserve"> </w:t>
      </w:r>
      <w:r w:rsidRPr="0043297B">
        <w:rPr>
          <w:rFonts w:ascii="Arial" w:eastAsia="Times New Roman" w:hAnsi="Arial" w:cs="Arial"/>
          <w:sz w:val="20"/>
          <w:szCs w:val="20"/>
        </w:rPr>
        <w:t xml:space="preserve">Data to June 2020 for AWOTE is not available until 13 August and CPI is not available until 29 July. As such the </w:t>
      </w:r>
      <w:proofErr w:type="gramStart"/>
      <w:r w:rsidRPr="0043297B">
        <w:rPr>
          <w:rFonts w:ascii="Arial" w:eastAsia="Times New Roman" w:hAnsi="Arial" w:cs="Arial"/>
          <w:sz w:val="20"/>
          <w:szCs w:val="20"/>
        </w:rPr>
        <w:t>5 and 10 year</w:t>
      </w:r>
      <w:proofErr w:type="gramEnd"/>
      <w:r w:rsidRPr="0043297B">
        <w:rPr>
          <w:rFonts w:ascii="Arial" w:eastAsia="Times New Roman" w:hAnsi="Arial" w:cs="Arial"/>
          <w:sz w:val="20"/>
          <w:szCs w:val="20"/>
        </w:rPr>
        <w:t xml:space="preserve"> average annual growth and $1000 indexation calculations are to 2018-19 only.</w:t>
      </w:r>
    </w:p>
    <w:p w14:paraId="791D239E" w14:textId="77777777" w:rsidR="007F63CD" w:rsidRPr="0043297B" w:rsidRDefault="007F63CD" w:rsidP="00E4501B">
      <w:pPr>
        <w:pStyle w:val="FootnoteText"/>
        <w:rPr>
          <w:rFonts w:ascii="Arial" w:hAnsi="Arial" w:cs="Arial"/>
        </w:rPr>
      </w:pPr>
    </w:p>
  </w:footnote>
  <w:footnote w:id="13">
    <w:p w14:paraId="6DEC4F18" w14:textId="77777777" w:rsidR="007F63CD" w:rsidRPr="0043297B" w:rsidRDefault="007F63CD" w:rsidP="00E4501B">
      <w:pPr>
        <w:rPr>
          <w:rFonts w:ascii="Arial" w:hAnsi="Arial" w:cs="Arial"/>
          <w:sz w:val="20"/>
          <w:szCs w:val="20"/>
        </w:rPr>
      </w:pPr>
      <w:r w:rsidRPr="0043297B">
        <w:rPr>
          <w:rStyle w:val="FootnoteReference"/>
          <w:rFonts w:ascii="Arial" w:hAnsi="Arial" w:cs="Arial"/>
          <w:sz w:val="20"/>
          <w:szCs w:val="20"/>
        </w:rPr>
        <w:footnoteRef/>
      </w:r>
      <w:r w:rsidRPr="0043297B">
        <w:rPr>
          <w:rFonts w:ascii="Arial" w:hAnsi="Arial" w:cs="Arial"/>
          <w:sz w:val="20"/>
          <w:szCs w:val="20"/>
        </w:rPr>
        <w:t xml:space="preserve"> Notes: </w:t>
      </w:r>
    </w:p>
    <w:p w14:paraId="1DA33EBC" w14:textId="77777777" w:rsidR="007F63CD" w:rsidRPr="0043297B" w:rsidRDefault="007F63CD" w:rsidP="00AC7BED">
      <w:pPr>
        <w:pStyle w:val="ListParagraph"/>
        <w:numPr>
          <w:ilvl w:val="0"/>
          <w:numId w:val="3"/>
        </w:numPr>
        <w:ind w:left="714" w:hanging="357"/>
        <w:contextualSpacing w:val="0"/>
        <w:rPr>
          <w:rFonts w:ascii="Arial" w:hAnsi="Arial" w:cs="Arial"/>
          <w:sz w:val="20"/>
          <w:szCs w:val="20"/>
        </w:rPr>
      </w:pPr>
      <w:r w:rsidRPr="0043297B">
        <w:rPr>
          <w:rFonts w:ascii="Arial" w:hAnsi="Arial" w:cs="Arial"/>
          <w:sz w:val="20"/>
          <w:szCs w:val="20"/>
        </w:rPr>
        <w:t xml:space="preserve">ABS 6302.0 Average Weekly Ordinary Time Earnings, Full-time Adults, Persons, annual % change 6 months to December 2018 on 6 months to December 2017, and 6 months to December 2019 on 6 Months to December 2018, original </w:t>
      </w:r>
      <w:proofErr w:type="gramStart"/>
      <w:r w:rsidRPr="0043297B">
        <w:rPr>
          <w:rFonts w:ascii="Arial" w:hAnsi="Arial" w:cs="Arial"/>
          <w:sz w:val="20"/>
          <w:szCs w:val="20"/>
        </w:rPr>
        <w:t>terms</w:t>
      </w:r>
      <w:proofErr w:type="gramEnd"/>
    </w:p>
    <w:p w14:paraId="4893091D" w14:textId="77777777" w:rsidR="007F63CD" w:rsidRPr="001A6BE2" w:rsidRDefault="007F63CD" w:rsidP="00AC7BED">
      <w:pPr>
        <w:pStyle w:val="ListParagraph"/>
        <w:numPr>
          <w:ilvl w:val="0"/>
          <w:numId w:val="3"/>
        </w:numPr>
        <w:ind w:left="714" w:hanging="357"/>
        <w:contextualSpacing w:val="0"/>
        <w:rPr>
          <w:rFonts w:ascii="Arial" w:hAnsi="Arial" w:cs="Arial"/>
          <w:sz w:val="20"/>
          <w:szCs w:val="20"/>
        </w:rPr>
      </w:pPr>
      <w:r w:rsidRPr="001A6BE2">
        <w:rPr>
          <w:rFonts w:ascii="Arial" w:hAnsi="Arial" w:cs="Arial"/>
          <w:sz w:val="20"/>
          <w:szCs w:val="20"/>
        </w:rPr>
        <w:t>ABS 6401.0, Consumer Price Index, Brisbane, All Groups, annual % change June quarter 2019 on June quarter 2018 and June quarter 2020 on June quarter 2019</w:t>
      </w:r>
    </w:p>
    <w:p w14:paraId="1AC6784A" w14:textId="77777777" w:rsidR="007F63CD" w:rsidRPr="0043297B" w:rsidRDefault="007F63CD" w:rsidP="00AC7BED">
      <w:pPr>
        <w:pStyle w:val="ListParagraph"/>
        <w:numPr>
          <w:ilvl w:val="0"/>
          <w:numId w:val="3"/>
        </w:numPr>
        <w:ind w:left="714" w:hanging="357"/>
        <w:contextualSpacing w:val="0"/>
        <w:rPr>
          <w:rFonts w:ascii="Arial" w:hAnsi="Arial" w:cs="Arial"/>
          <w:sz w:val="20"/>
          <w:szCs w:val="20"/>
        </w:rPr>
      </w:pPr>
      <w:r w:rsidRPr="0043297B">
        <w:rPr>
          <w:rFonts w:ascii="Arial" w:hAnsi="Arial" w:cs="Arial"/>
          <w:sz w:val="20"/>
          <w:szCs w:val="20"/>
        </w:rPr>
        <w:t>ABS 6345.0, Wage Price Index – Total Hourly Rate (excluding bonuses), annual % change March quarter 2019 on March quarter 2018 and March quarter 2020 on March quarter 2019.</w:t>
      </w:r>
    </w:p>
    <w:p w14:paraId="4B015D6A" w14:textId="77777777" w:rsidR="007F63CD" w:rsidRPr="0043297B" w:rsidRDefault="007F63CD" w:rsidP="00AC7BED">
      <w:pPr>
        <w:pStyle w:val="ListParagraph"/>
        <w:numPr>
          <w:ilvl w:val="0"/>
          <w:numId w:val="3"/>
        </w:numPr>
        <w:ind w:left="714" w:hanging="357"/>
        <w:contextualSpacing w:val="0"/>
        <w:rPr>
          <w:rFonts w:ascii="Arial" w:hAnsi="Arial" w:cs="Arial"/>
          <w:sz w:val="20"/>
          <w:szCs w:val="20"/>
        </w:rPr>
      </w:pPr>
      <w:r w:rsidRPr="0043297B">
        <w:rPr>
          <w:rFonts w:ascii="Arial" w:hAnsi="Arial" w:cs="Arial"/>
          <w:sz w:val="20"/>
          <w:szCs w:val="20"/>
        </w:rPr>
        <w:t xml:space="preserve"> Economic growth forecasts will be updated in September 2020.</w:t>
      </w:r>
    </w:p>
    <w:p w14:paraId="0E697DA2" w14:textId="77777777" w:rsidR="007F63CD" w:rsidRPr="0043297B" w:rsidRDefault="007F63CD" w:rsidP="00AC7BED">
      <w:pPr>
        <w:pStyle w:val="ListParagraph"/>
        <w:numPr>
          <w:ilvl w:val="0"/>
          <w:numId w:val="3"/>
        </w:numPr>
        <w:ind w:left="714" w:hanging="357"/>
        <w:contextualSpacing w:val="0"/>
        <w:rPr>
          <w:rFonts w:ascii="Arial" w:hAnsi="Arial" w:cs="Arial"/>
          <w:sz w:val="20"/>
          <w:szCs w:val="20"/>
        </w:rPr>
      </w:pPr>
      <w:r w:rsidRPr="0043297B">
        <w:rPr>
          <w:rFonts w:ascii="Arial" w:hAnsi="Arial" w:cs="Arial"/>
          <w:sz w:val="20"/>
          <w:szCs w:val="20"/>
        </w:rPr>
        <w:t>The Queensland Treasurer announced the annual indexation of fees and charges for 2020-21 on 12 June 2020 http://statements.qld.gov.au/Statement/2020/6/12/lowest-fees-and-charges-rise-for-more-than-a-decade</w:t>
      </w:r>
    </w:p>
  </w:footnote>
  <w:footnote w:id="14">
    <w:p w14:paraId="00056654" w14:textId="404E2BDB" w:rsidR="007F63CD" w:rsidRPr="0043297B" w:rsidRDefault="007F63CD" w:rsidP="00E4501B">
      <w:pPr>
        <w:pStyle w:val="FootnoteText"/>
        <w:rPr>
          <w:rFonts w:ascii="Arial" w:hAnsi="Arial" w:cs="Arial"/>
        </w:rPr>
      </w:pPr>
      <w:r w:rsidRPr="0043297B">
        <w:rPr>
          <w:rStyle w:val="FootnoteReference"/>
          <w:rFonts w:ascii="Arial" w:hAnsi="Arial" w:cs="Arial"/>
        </w:rPr>
        <w:footnoteRef/>
      </w:r>
      <w:r w:rsidRPr="0043297B">
        <w:rPr>
          <w:rFonts w:ascii="Arial" w:hAnsi="Arial" w:cs="Arial"/>
        </w:rPr>
        <w:t xml:space="preserve"> </w:t>
      </w:r>
      <w:r w:rsidRPr="0043297B">
        <w:rPr>
          <w:rFonts w:ascii="Arial" w:eastAsia="Times New Roman" w:hAnsi="Arial" w:cs="Arial"/>
        </w:rPr>
        <w:t xml:space="preserve">There currently </w:t>
      </w:r>
      <w:proofErr w:type="gramStart"/>
      <w:r w:rsidRPr="0043297B">
        <w:rPr>
          <w:rFonts w:ascii="Arial" w:eastAsia="Times New Roman" w:hAnsi="Arial" w:cs="Arial"/>
        </w:rPr>
        <w:t>aren’t</w:t>
      </w:r>
      <w:proofErr w:type="gramEnd"/>
      <w:r w:rsidRPr="0043297B">
        <w:rPr>
          <w:rFonts w:ascii="Arial" w:eastAsia="Times New Roman" w:hAnsi="Arial" w:cs="Arial"/>
        </w:rPr>
        <w:t xml:space="preserve"> any wage indicator or economic growth forecasts available due the unfolding impact of COVID</w:t>
      </w:r>
      <w:r w:rsidRPr="0043297B">
        <w:rPr>
          <w:rFonts w:ascii="Arial" w:eastAsia="Times New Roman" w:hAnsi="Arial" w:cs="Arial"/>
        </w:rPr>
        <w:noBreakHyphen/>
        <w:t xml:space="preserve">19. Previously released forecasts are not valid. The Government will provide updated forecasts in the statement announced for release in September </w:t>
      </w:r>
      <w:proofErr w:type="gramStart"/>
      <w:r w:rsidRPr="0043297B">
        <w:rPr>
          <w:rFonts w:ascii="Arial" w:eastAsia="Times New Roman" w:hAnsi="Arial" w:cs="Arial"/>
        </w:rPr>
        <w:t>2020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75CA" w14:textId="3968B497" w:rsidR="007F63CD" w:rsidRPr="006C46C5" w:rsidRDefault="007F63CD" w:rsidP="003D3C8C">
    <w:pPr>
      <w:pStyle w:val="Header"/>
      <w:jc w:val="right"/>
    </w:pPr>
    <w:r>
      <w:rPr>
        <w:noProof/>
        <w:lang w:val="en-US" w:eastAsia="en-US"/>
      </w:rPr>
      <w:drawing>
        <wp:anchor distT="0" distB="0" distL="114300" distR="114300" simplePos="0" relativeHeight="251655680"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7728"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F63CD" w:rsidRDefault="007F63CD" w:rsidP="003D3C8C">
    <w:pPr>
      <w:pStyle w:val="Header"/>
      <w:tabs>
        <w:tab w:val="left" w:pos="8153"/>
        <w:tab w:val="right" w:pos="9781"/>
      </w:tabs>
      <w:ind w:left="-1797" w:firstLine="1797"/>
      <w:rPr>
        <w:b/>
      </w:rPr>
    </w:pPr>
    <w:r>
      <w:rPr>
        <w:b/>
      </w:rPr>
      <w:tab/>
    </w:r>
    <w:r>
      <w:rPr>
        <w:b/>
      </w:rPr>
      <w:tab/>
    </w:r>
  </w:p>
  <w:p w14:paraId="7BF4D98C" w14:textId="77777777" w:rsidR="007F63CD" w:rsidRDefault="007F63CD" w:rsidP="003D3C8C">
    <w:pPr>
      <w:pStyle w:val="Header"/>
      <w:ind w:left="-1797" w:firstLine="1797"/>
      <w:jc w:val="right"/>
      <w:rPr>
        <w:b/>
      </w:rPr>
    </w:pPr>
    <w:r>
      <w:rPr>
        <w:noProof/>
        <w:lang w:val="en-US" w:eastAsia="en-US"/>
      </w:rPr>
      <mc:AlternateContent>
        <mc:Choice Requires="wps">
          <w:drawing>
            <wp:anchor distT="0" distB="0" distL="114300" distR="114300" simplePos="0" relativeHeight="251658752"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" filled="f" stroked="f">
              <v:path arrowok="t"/>
              <v:textbox inset="0,0,0,0">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F63CD" w:rsidRPr="002F1D82" w:rsidRDefault="007F63CD" w:rsidP="003D3C8C">
    <w:pPr>
      <w:pStyle w:val="Header"/>
      <w:rPr>
        <w:b/>
      </w:rPr>
    </w:pPr>
    <w:r>
      <w:rPr>
        <w:noProof/>
        <w:lang w:val="en-US" w:eastAsia="en-US"/>
      </w:rPr>
      <w:drawing>
        <wp:anchor distT="0" distB="0" distL="114300" distR="114300" simplePos="0" relativeHeight="251656704"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F63CD" w:rsidRPr="00372F3B" w:rsidRDefault="007F63CD" w:rsidP="0091311D">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4931E" w14:textId="67122667" w:rsidR="007F63CD" w:rsidRDefault="007F6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8A2E" w14:textId="3E583262" w:rsidR="007F63CD" w:rsidRDefault="007F63CD">
    <w:pPr>
      <w:pStyle w:val="Header"/>
    </w:pPr>
    <w:r>
      <w:rPr>
        <w:noProof/>
        <w:lang w:val="en-US" w:eastAsia="en-US"/>
      </w:rPr>
      <mc:AlternateContent>
        <mc:Choice Requires="wpg">
          <w:drawing>
            <wp:anchor distT="0" distB="0" distL="114300" distR="114300" simplePos="0" relativeHeight="251660800" behindDoc="0" locked="0" layoutInCell="1" allowOverlap="1" wp14:anchorId="532D35F3" wp14:editId="114396BF">
              <wp:simplePos x="0" y="0"/>
              <wp:positionH relativeFrom="column">
                <wp:posOffset>3447415</wp:posOffset>
              </wp:positionH>
              <wp:positionV relativeFrom="paragraph">
                <wp:posOffset>-124460</wp:posOffset>
              </wp:positionV>
              <wp:extent cx="2843530" cy="786890"/>
              <wp:effectExtent l="0" t="0" r="0" b="13335"/>
              <wp:wrapNone/>
              <wp:docPr id="5" name="Group 5"/>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053EC" w14:textId="2799540A"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2D35F3" id="Group 5" o:spid="_x0000_s1029" style="position:absolute;margin-left:271.45pt;margin-top:-9.8pt;width:223.9pt;height:61.95pt;z-index:251660800"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28435;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vBT/BAAAA2gAAAA8AAABkcnMvZG93bnJldi54bWxEj0FrwkAUhO8F/8PyhN7qxlKkRFeJFtFj&#10;tYFeH9lnEs2+jdmnxn/fFYQeh5n5hpkteteoK3Wh9mxgPEpAERfe1lwayH/Wb5+ggiBbbDyTgTsF&#10;WMwHLzNMrb/xjq57KVWEcEjRQCXSplqHoiKHYeRb4ugdfOdQouxKbTu8Rbhr9HuSTLTDmuNChS2t&#10;KipO+4szIMv8eP49j5nXH7s8fEu2ab8yY16HfTYFJdTLf/jZ3loDE3hciTdA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vBT/BAAAA2gAAAA8AAAAAAAAAAAAAAAAAnwIA&#10;AGRycy9kb3ducmV2LnhtbFBLBQYAAAAABAAEAPcAAACNAwAAAAA=&#10;">
                <v:imagedata r:id="rId2" o:title="" croptop="2f" cropbottom="19593f"/>
                <v:path arrowok="t"/>
              </v:shape>
              <v:shapetype id="_x0000_t202" coordsize="21600,21600" o:spt="202" path="m,l,21600r21600,l21600,xe">
                <v:stroke joinstyle="miter"/>
                <v:path gradientshapeok="t" o:connecttype="rect"/>
              </v:shapetype>
              <v:shape id="Text Box 7" o:spid="_x0000_s1031" type="#_x0000_t202" style="position:absolute;left:7146;top:5379;width:20931;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EA053EC" w14:textId="2799540A"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21/2020</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0222" w14:textId="00E4DD80" w:rsidR="007F63CD" w:rsidRDefault="007F6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8A78" w14:textId="67B21253" w:rsidR="007F63CD" w:rsidRDefault="007F63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AA05" w14:textId="3575F290" w:rsidR="007F63CD" w:rsidRDefault="007F63CD">
    <w:pPr>
      <w:pStyle w:val="Header"/>
    </w:pPr>
    <w:r>
      <w:rPr>
        <w:noProof/>
        <w:lang w:val="en-US" w:eastAsia="en-US"/>
      </w:rPr>
      <mc:AlternateContent>
        <mc:Choice Requires="wpg">
          <w:drawing>
            <wp:anchor distT="0" distB="0" distL="114300" distR="114300" simplePos="0" relativeHeight="251662848" behindDoc="0" locked="0" layoutInCell="1" allowOverlap="1" wp14:anchorId="4E0A60F3" wp14:editId="4DC3F4C6">
              <wp:simplePos x="0" y="0"/>
              <wp:positionH relativeFrom="column">
                <wp:posOffset>3708588</wp:posOffset>
              </wp:positionH>
              <wp:positionV relativeFrom="paragraph">
                <wp:posOffset>-68620</wp:posOffset>
              </wp:positionV>
              <wp:extent cx="2843530" cy="786890"/>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6EE8AE05" w:rsidR="007F63CD" w:rsidRPr="000B5C5A" w:rsidRDefault="007F63CD" w:rsidP="00022D85">
                            <w:pPr>
                              <w:jc w:val="right"/>
                              <w:rPr>
                                <w:rFonts w:ascii="Arial" w:hAnsi="Arial" w:cs="Arial"/>
                              </w:rPr>
                            </w:pPr>
                            <w:r w:rsidRPr="000B5C5A">
                              <w:rPr>
                                <w:rFonts w:ascii="Arial" w:hAnsi="Arial" w:cs="Arial"/>
                              </w:rPr>
                              <w:t xml:space="preserve">Determination </w:t>
                            </w:r>
                            <w:r w:rsidR="002A28E4">
                              <w:rPr>
                                <w:rFonts w:ascii="Arial" w:hAnsi="Arial" w:cs="Arial"/>
                              </w:rPr>
                              <w:t>21/2020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32" style="position:absolute;margin-left:292pt;margin-top:-5.4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2" o:title="" croptop="2f" cropbottom="19593f"/>
              </v:shape>
              <v:shapetype id="_x0000_t202" coordsize="21600,21600" o:spt="202" path="m,l,21600r21600,l21600,xe">
                <v:stroke joinstyle="miter"/>
                <v:path gradientshapeok="t" o:connecttype="rect"/>
              </v:shapetype>
              <v:shape id="Text Box 20" o:spid="_x0000_s1034"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6EE8AE05" w:rsidR="007F63CD" w:rsidRPr="000B5C5A" w:rsidRDefault="007F63CD" w:rsidP="00022D85">
                      <w:pPr>
                        <w:jc w:val="right"/>
                        <w:rPr>
                          <w:rFonts w:ascii="Arial" w:hAnsi="Arial" w:cs="Arial"/>
                        </w:rPr>
                      </w:pPr>
                      <w:r w:rsidRPr="000B5C5A">
                        <w:rPr>
                          <w:rFonts w:ascii="Arial" w:hAnsi="Arial" w:cs="Arial"/>
                        </w:rPr>
                        <w:t xml:space="preserve">Determination </w:t>
                      </w:r>
                      <w:r w:rsidR="002A28E4">
                        <w:rPr>
                          <w:rFonts w:ascii="Arial" w:hAnsi="Arial" w:cs="Arial"/>
                        </w:rPr>
                        <w:t>21/2020</w:t>
                      </w:r>
                    </w:p>
                  </w:txbxContent>
                </v:textbox>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02BD" w14:textId="5891AD4C" w:rsidR="007F63CD" w:rsidRDefault="007F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34D3A"/>
    <w:multiLevelType w:val="hybridMultilevel"/>
    <w:tmpl w:val="031E0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AFE0457"/>
    <w:multiLevelType w:val="hybridMultilevel"/>
    <w:tmpl w:val="8324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45826"/>
    <w:multiLevelType w:val="hybridMultilevel"/>
    <w:tmpl w:val="04EAD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E553B7"/>
    <w:multiLevelType w:val="hybridMultilevel"/>
    <w:tmpl w:val="9526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356CDA"/>
    <w:multiLevelType w:val="hybridMultilevel"/>
    <w:tmpl w:val="872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EE3CD9"/>
    <w:multiLevelType w:val="hybridMultilevel"/>
    <w:tmpl w:val="2522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7"/>
  </w:num>
  <w:num w:numId="5">
    <w:abstractNumId w:val="3"/>
  </w:num>
  <w:num w:numId="6">
    <w:abstractNumId w:val="10"/>
  </w:num>
  <w:num w:numId="7">
    <w:abstractNumId w:val="7"/>
  </w:num>
  <w:num w:numId="8">
    <w:abstractNumId w:val="2"/>
  </w:num>
  <w:num w:numId="9">
    <w:abstractNumId w:val="6"/>
  </w:num>
  <w:num w:numId="10">
    <w:abstractNumId w:val="13"/>
  </w:num>
  <w:num w:numId="11">
    <w:abstractNumId w:val="1"/>
  </w:num>
  <w:num w:numId="12">
    <w:abstractNumId w:val="5"/>
  </w:num>
  <w:num w:numId="13">
    <w:abstractNumId w:val="18"/>
  </w:num>
  <w:num w:numId="14">
    <w:abstractNumId w:val="15"/>
  </w:num>
  <w:num w:numId="15">
    <w:abstractNumId w:val="12"/>
  </w:num>
  <w:num w:numId="16">
    <w:abstractNumId w:val="16"/>
  </w:num>
  <w:num w:numId="17">
    <w:abstractNumId w:val="4"/>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30C4"/>
    <w:rsid w:val="00004E73"/>
    <w:rsid w:val="000062C6"/>
    <w:rsid w:val="000064E3"/>
    <w:rsid w:val="00006FEC"/>
    <w:rsid w:val="000074BB"/>
    <w:rsid w:val="00007EDE"/>
    <w:rsid w:val="000108E2"/>
    <w:rsid w:val="0001104C"/>
    <w:rsid w:val="0001175F"/>
    <w:rsid w:val="00012AF9"/>
    <w:rsid w:val="0001302A"/>
    <w:rsid w:val="000131B7"/>
    <w:rsid w:val="00013879"/>
    <w:rsid w:val="00014126"/>
    <w:rsid w:val="000145DF"/>
    <w:rsid w:val="000148F1"/>
    <w:rsid w:val="00014F82"/>
    <w:rsid w:val="00014FA6"/>
    <w:rsid w:val="00015F2D"/>
    <w:rsid w:val="00015FF3"/>
    <w:rsid w:val="0001669C"/>
    <w:rsid w:val="000176D3"/>
    <w:rsid w:val="00020516"/>
    <w:rsid w:val="00021164"/>
    <w:rsid w:val="00022D85"/>
    <w:rsid w:val="00024FAA"/>
    <w:rsid w:val="00025148"/>
    <w:rsid w:val="0002558A"/>
    <w:rsid w:val="00026527"/>
    <w:rsid w:val="0002702B"/>
    <w:rsid w:val="00027226"/>
    <w:rsid w:val="0002730E"/>
    <w:rsid w:val="000278D1"/>
    <w:rsid w:val="00027C3B"/>
    <w:rsid w:val="00030267"/>
    <w:rsid w:val="00030A3B"/>
    <w:rsid w:val="00032746"/>
    <w:rsid w:val="0003376F"/>
    <w:rsid w:val="00033B02"/>
    <w:rsid w:val="0003460F"/>
    <w:rsid w:val="0003488F"/>
    <w:rsid w:val="00034E15"/>
    <w:rsid w:val="000353D2"/>
    <w:rsid w:val="000355AD"/>
    <w:rsid w:val="00035FC9"/>
    <w:rsid w:val="000364D3"/>
    <w:rsid w:val="00037B0D"/>
    <w:rsid w:val="00041004"/>
    <w:rsid w:val="00041024"/>
    <w:rsid w:val="000417E9"/>
    <w:rsid w:val="00041999"/>
    <w:rsid w:val="00042BC0"/>
    <w:rsid w:val="00043A27"/>
    <w:rsid w:val="00043DE5"/>
    <w:rsid w:val="000440CB"/>
    <w:rsid w:val="00044DA0"/>
    <w:rsid w:val="000457F5"/>
    <w:rsid w:val="00046381"/>
    <w:rsid w:val="00051A20"/>
    <w:rsid w:val="00051A29"/>
    <w:rsid w:val="000528AC"/>
    <w:rsid w:val="000537B6"/>
    <w:rsid w:val="00054379"/>
    <w:rsid w:val="00055AA9"/>
    <w:rsid w:val="000567D8"/>
    <w:rsid w:val="00057331"/>
    <w:rsid w:val="0006092A"/>
    <w:rsid w:val="00060A59"/>
    <w:rsid w:val="00060F5F"/>
    <w:rsid w:val="00061045"/>
    <w:rsid w:val="00061883"/>
    <w:rsid w:val="00061A7A"/>
    <w:rsid w:val="00061F84"/>
    <w:rsid w:val="00062317"/>
    <w:rsid w:val="000626E5"/>
    <w:rsid w:val="00062A8B"/>
    <w:rsid w:val="00062C66"/>
    <w:rsid w:val="00062F76"/>
    <w:rsid w:val="0006329C"/>
    <w:rsid w:val="00063DD7"/>
    <w:rsid w:val="000642C2"/>
    <w:rsid w:val="0006430A"/>
    <w:rsid w:val="00064DFB"/>
    <w:rsid w:val="00064E66"/>
    <w:rsid w:val="000667FE"/>
    <w:rsid w:val="00066C9A"/>
    <w:rsid w:val="00066D63"/>
    <w:rsid w:val="00067ACE"/>
    <w:rsid w:val="000706A2"/>
    <w:rsid w:val="000706C2"/>
    <w:rsid w:val="00071005"/>
    <w:rsid w:val="00071301"/>
    <w:rsid w:val="00072C81"/>
    <w:rsid w:val="00072D91"/>
    <w:rsid w:val="000735C9"/>
    <w:rsid w:val="00073CD9"/>
    <w:rsid w:val="00074E37"/>
    <w:rsid w:val="00074E65"/>
    <w:rsid w:val="0007576B"/>
    <w:rsid w:val="00076CAF"/>
    <w:rsid w:val="00076F64"/>
    <w:rsid w:val="000778EA"/>
    <w:rsid w:val="00080139"/>
    <w:rsid w:val="00080328"/>
    <w:rsid w:val="00080904"/>
    <w:rsid w:val="00081571"/>
    <w:rsid w:val="0008184B"/>
    <w:rsid w:val="0008212C"/>
    <w:rsid w:val="000825BB"/>
    <w:rsid w:val="00082821"/>
    <w:rsid w:val="0008688C"/>
    <w:rsid w:val="00086EA3"/>
    <w:rsid w:val="00086F0C"/>
    <w:rsid w:val="00087AC6"/>
    <w:rsid w:val="00087D7B"/>
    <w:rsid w:val="0009001F"/>
    <w:rsid w:val="00090D43"/>
    <w:rsid w:val="00091623"/>
    <w:rsid w:val="00091E6B"/>
    <w:rsid w:val="00092A52"/>
    <w:rsid w:val="00092B81"/>
    <w:rsid w:val="000934DF"/>
    <w:rsid w:val="000942BB"/>
    <w:rsid w:val="000943D3"/>
    <w:rsid w:val="0009456D"/>
    <w:rsid w:val="000953D1"/>
    <w:rsid w:val="000959AD"/>
    <w:rsid w:val="00095B17"/>
    <w:rsid w:val="00095E18"/>
    <w:rsid w:val="00096A82"/>
    <w:rsid w:val="000970B1"/>
    <w:rsid w:val="000974D3"/>
    <w:rsid w:val="000976E9"/>
    <w:rsid w:val="000979A3"/>
    <w:rsid w:val="00097A69"/>
    <w:rsid w:val="00097AD1"/>
    <w:rsid w:val="000A0467"/>
    <w:rsid w:val="000A14F0"/>
    <w:rsid w:val="000A2515"/>
    <w:rsid w:val="000A2BEC"/>
    <w:rsid w:val="000A3342"/>
    <w:rsid w:val="000A4E1F"/>
    <w:rsid w:val="000A5791"/>
    <w:rsid w:val="000A5BB2"/>
    <w:rsid w:val="000A6A07"/>
    <w:rsid w:val="000A70DB"/>
    <w:rsid w:val="000B157B"/>
    <w:rsid w:val="000B1BC6"/>
    <w:rsid w:val="000B1F47"/>
    <w:rsid w:val="000B2144"/>
    <w:rsid w:val="000B290D"/>
    <w:rsid w:val="000B308E"/>
    <w:rsid w:val="000B31A7"/>
    <w:rsid w:val="000B4384"/>
    <w:rsid w:val="000B43CD"/>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5C3D"/>
    <w:rsid w:val="000C5F4E"/>
    <w:rsid w:val="000C600B"/>
    <w:rsid w:val="000C705F"/>
    <w:rsid w:val="000D05FC"/>
    <w:rsid w:val="000D06C8"/>
    <w:rsid w:val="000D1757"/>
    <w:rsid w:val="000D19B6"/>
    <w:rsid w:val="000D1D63"/>
    <w:rsid w:val="000D216D"/>
    <w:rsid w:val="000D2804"/>
    <w:rsid w:val="000D4D59"/>
    <w:rsid w:val="000D4FB3"/>
    <w:rsid w:val="000D5780"/>
    <w:rsid w:val="000D6268"/>
    <w:rsid w:val="000D687E"/>
    <w:rsid w:val="000D7518"/>
    <w:rsid w:val="000E02EA"/>
    <w:rsid w:val="000E07E9"/>
    <w:rsid w:val="000E0842"/>
    <w:rsid w:val="000E1262"/>
    <w:rsid w:val="000E165B"/>
    <w:rsid w:val="000E19FF"/>
    <w:rsid w:val="000E1A82"/>
    <w:rsid w:val="000E1F60"/>
    <w:rsid w:val="000E33F7"/>
    <w:rsid w:val="000E3AF9"/>
    <w:rsid w:val="000E40F9"/>
    <w:rsid w:val="000E49C0"/>
    <w:rsid w:val="000E4B5E"/>
    <w:rsid w:val="000E516E"/>
    <w:rsid w:val="000E51A1"/>
    <w:rsid w:val="000E6AC9"/>
    <w:rsid w:val="000F0C11"/>
    <w:rsid w:val="000F1101"/>
    <w:rsid w:val="000F195B"/>
    <w:rsid w:val="000F1D8C"/>
    <w:rsid w:val="000F2975"/>
    <w:rsid w:val="000F344D"/>
    <w:rsid w:val="000F41F5"/>
    <w:rsid w:val="000F53E8"/>
    <w:rsid w:val="000F6BAB"/>
    <w:rsid w:val="000F6C35"/>
    <w:rsid w:val="000F7332"/>
    <w:rsid w:val="000F767C"/>
    <w:rsid w:val="00100378"/>
    <w:rsid w:val="00100C39"/>
    <w:rsid w:val="00101032"/>
    <w:rsid w:val="00102BA4"/>
    <w:rsid w:val="001032FD"/>
    <w:rsid w:val="00103879"/>
    <w:rsid w:val="001042F0"/>
    <w:rsid w:val="001044B2"/>
    <w:rsid w:val="001052C7"/>
    <w:rsid w:val="0010718A"/>
    <w:rsid w:val="00107AA4"/>
    <w:rsid w:val="00107AED"/>
    <w:rsid w:val="0011059E"/>
    <w:rsid w:val="0011107A"/>
    <w:rsid w:val="00111342"/>
    <w:rsid w:val="0011147A"/>
    <w:rsid w:val="001114A4"/>
    <w:rsid w:val="0011196A"/>
    <w:rsid w:val="00111BAD"/>
    <w:rsid w:val="00112074"/>
    <w:rsid w:val="0011276E"/>
    <w:rsid w:val="00112D5C"/>
    <w:rsid w:val="00113EEE"/>
    <w:rsid w:val="0011465A"/>
    <w:rsid w:val="0011557D"/>
    <w:rsid w:val="00115873"/>
    <w:rsid w:val="00115A43"/>
    <w:rsid w:val="00115FE9"/>
    <w:rsid w:val="00117C67"/>
    <w:rsid w:val="001206A4"/>
    <w:rsid w:val="00122045"/>
    <w:rsid w:val="0012208A"/>
    <w:rsid w:val="001220E9"/>
    <w:rsid w:val="00122403"/>
    <w:rsid w:val="001227DC"/>
    <w:rsid w:val="00122C47"/>
    <w:rsid w:val="00124190"/>
    <w:rsid w:val="0012480D"/>
    <w:rsid w:val="00124A2B"/>
    <w:rsid w:val="00125328"/>
    <w:rsid w:val="00125445"/>
    <w:rsid w:val="00125F7B"/>
    <w:rsid w:val="001262F8"/>
    <w:rsid w:val="00127185"/>
    <w:rsid w:val="00130A20"/>
    <w:rsid w:val="00130F24"/>
    <w:rsid w:val="001314CA"/>
    <w:rsid w:val="00132FBD"/>
    <w:rsid w:val="00133D2C"/>
    <w:rsid w:val="00134885"/>
    <w:rsid w:val="00134F2E"/>
    <w:rsid w:val="00136481"/>
    <w:rsid w:val="00140D75"/>
    <w:rsid w:val="00143833"/>
    <w:rsid w:val="00144566"/>
    <w:rsid w:val="00144FE2"/>
    <w:rsid w:val="00146908"/>
    <w:rsid w:val="001474D0"/>
    <w:rsid w:val="00147A1D"/>
    <w:rsid w:val="00151455"/>
    <w:rsid w:val="00151E01"/>
    <w:rsid w:val="001521BB"/>
    <w:rsid w:val="00152704"/>
    <w:rsid w:val="00152DA7"/>
    <w:rsid w:val="00153FB3"/>
    <w:rsid w:val="00154CFD"/>
    <w:rsid w:val="00154FF7"/>
    <w:rsid w:val="001550AF"/>
    <w:rsid w:val="00156CC3"/>
    <w:rsid w:val="00157538"/>
    <w:rsid w:val="00160492"/>
    <w:rsid w:val="00160D38"/>
    <w:rsid w:val="00160E3A"/>
    <w:rsid w:val="001612BA"/>
    <w:rsid w:val="0016158F"/>
    <w:rsid w:val="00162308"/>
    <w:rsid w:val="00162970"/>
    <w:rsid w:val="00162A85"/>
    <w:rsid w:val="00162E42"/>
    <w:rsid w:val="0016359D"/>
    <w:rsid w:val="0016391F"/>
    <w:rsid w:val="00163E28"/>
    <w:rsid w:val="001646E3"/>
    <w:rsid w:val="00164967"/>
    <w:rsid w:val="00165313"/>
    <w:rsid w:val="00165CF9"/>
    <w:rsid w:val="00166324"/>
    <w:rsid w:val="00166401"/>
    <w:rsid w:val="00166E51"/>
    <w:rsid w:val="00167082"/>
    <w:rsid w:val="00167196"/>
    <w:rsid w:val="00170B4C"/>
    <w:rsid w:val="001726CB"/>
    <w:rsid w:val="001730A0"/>
    <w:rsid w:val="0017320A"/>
    <w:rsid w:val="00173A33"/>
    <w:rsid w:val="00174224"/>
    <w:rsid w:val="0017565B"/>
    <w:rsid w:val="00175839"/>
    <w:rsid w:val="001758D5"/>
    <w:rsid w:val="00175A02"/>
    <w:rsid w:val="00176768"/>
    <w:rsid w:val="001769F2"/>
    <w:rsid w:val="0018004F"/>
    <w:rsid w:val="00180E98"/>
    <w:rsid w:val="00181295"/>
    <w:rsid w:val="00181AC9"/>
    <w:rsid w:val="00181C32"/>
    <w:rsid w:val="00182E1F"/>
    <w:rsid w:val="00183BC3"/>
    <w:rsid w:val="00184B4F"/>
    <w:rsid w:val="00184F14"/>
    <w:rsid w:val="0018506E"/>
    <w:rsid w:val="001865B8"/>
    <w:rsid w:val="001865C5"/>
    <w:rsid w:val="00187BFE"/>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6E4"/>
    <w:rsid w:val="00195AFD"/>
    <w:rsid w:val="0019672A"/>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B04FA"/>
    <w:rsid w:val="001B1DE4"/>
    <w:rsid w:val="001B261A"/>
    <w:rsid w:val="001B2DEC"/>
    <w:rsid w:val="001B3C2B"/>
    <w:rsid w:val="001B3CB2"/>
    <w:rsid w:val="001B3ECE"/>
    <w:rsid w:val="001B4FEE"/>
    <w:rsid w:val="001B58D8"/>
    <w:rsid w:val="001B5D06"/>
    <w:rsid w:val="001B6E53"/>
    <w:rsid w:val="001B751B"/>
    <w:rsid w:val="001B7CDD"/>
    <w:rsid w:val="001C0B1B"/>
    <w:rsid w:val="001C10B2"/>
    <w:rsid w:val="001C16A2"/>
    <w:rsid w:val="001C1994"/>
    <w:rsid w:val="001C2C26"/>
    <w:rsid w:val="001C2EE0"/>
    <w:rsid w:val="001C349E"/>
    <w:rsid w:val="001C3B3E"/>
    <w:rsid w:val="001C462F"/>
    <w:rsid w:val="001C4806"/>
    <w:rsid w:val="001D049D"/>
    <w:rsid w:val="001D09DE"/>
    <w:rsid w:val="001D0EFB"/>
    <w:rsid w:val="001D0FAC"/>
    <w:rsid w:val="001D382D"/>
    <w:rsid w:val="001D3894"/>
    <w:rsid w:val="001D4B63"/>
    <w:rsid w:val="001D58C3"/>
    <w:rsid w:val="001D62B0"/>
    <w:rsid w:val="001D63AE"/>
    <w:rsid w:val="001D6694"/>
    <w:rsid w:val="001D66DE"/>
    <w:rsid w:val="001D6DD0"/>
    <w:rsid w:val="001D6ED3"/>
    <w:rsid w:val="001D73E6"/>
    <w:rsid w:val="001E1AAB"/>
    <w:rsid w:val="001E2CE5"/>
    <w:rsid w:val="001E3787"/>
    <w:rsid w:val="001E38DC"/>
    <w:rsid w:val="001E3C17"/>
    <w:rsid w:val="001E3FCC"/>
    <w:rsid w:val="001E45AC"/>
    <w:rsid w:val="001E5024"/>
    <w:rsid w:val="001E66CC"/>
    <w:rsid w:val="001E69FE"/>
    <w:rsid w:val="001E7227"/>
    <w:rsid w:val="001E7248"/>
    <w:rsid w:val="001E78D4"/>
    <w:rsid w:val="001E7ECF"/>
    <w:rsid w:val="001F0554"/>
    <w:rsid w:val="001F0881"/>
    <w:rsid w:val="001F0C11"/>
    <w:rsid w:val="001F0F91"/>
    <w:rsid w:val="001F1088"/>
    <w:rsid w:val="001F1AEF"/>
    <w:rsid w:val="001F2827"/>
    <w:rsid w:val="001F4278"/>
    <w:rsid w:val="001F575D"/>
    <w:rsid w:val="001F5A77"/>
    <w:rsid w:val="001F5B55"/>
    <w:rsid w:val="002000C2"/>
    <w:rsid w:val="002015E1"/>
    <w:rsid w:val="00203771"/>
    <w:rsid w:val="00205005"/>
    <w:rsid w:val="00205D61"/>
    <w:rsid w:val="0020748F"/>
    <w:rsid w:val="00210377"/>
    <w:rsid w:val="00210FAE"/>
    <w:rsid w:val="00211495"/>
    <w:rsid w:val="0021367F"/>
    <w:rsid w:val="002145DB"/>
    <w:rsid w:val="0021485C"/>
    <w:rsid w:val="0021582E"/>
    <w:rsid w:val="00215DDB"/>
    <w:rsid w:val="002161F5"/>
    <w:rsid w:val="00216286"/>
    <w:rsid w:val="00216488"/>
    <w:rsid w:val="002169C6"/>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F91"/>
    <w:rsid w:val="00230122"/>
    <w:rsid w:val="002326F9"/>
    <w:rsid w:val="002327A2"/>
    <w:rsid w:val="002329DA"/>
    <w:rsid w:val="00233088"/>
    <w:rsid w:val="00233F84"/>
    <w:rsid w:val="002345A5"/>
    <w:rsid w:val="002359AA"/>
    <w:rsid w:val="00236751"/>
    <w:rsid w:val="00236CD4"/>
    <w:rsid w:val="0023738D"/>
    <w:rsid w:val="002408AE"/>
    <w:rsid w:val="0024095E"/>
    <w:rsid w:val="00241E05"/>
    <w:rsid w:val="00242871"/>
    <w:rsid w:val="00242A94"/>
    <w:rsid w:val="00243554"/>
    <w:rsid w:val="00245110"/>
    <w:rsid w:val="00245432"/>
    <w:rsid w:val="0024595D"/>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252E"/>
    <w:rsid w:val="002849E6"/>
    <w:rsid w:val="00286F86"/>
    <w:rsid w:val="0028728F"/>
    <w:rsid w:val="00287AA2"/>
    <w:rsid w:val="002903DD"/>
    <w:rsid w:val="002906D0"/>
    <w:rsid w:val="00291719"/>
    <w:rsid w:val="00291DD9"/>
    <w:rsid w:val="00292D84"/>
    <w:rsid w:val="00293FB2"/>
    <w:rsid w:val="00294FB5"/>
    <w:rsid w:val="002956FA"/>
    <w:rsid w:val="002959BF"/>
    <w:rsid w:val="00296358"/>
    <w:rsid w:val="002974B3"/>
    <w:rsid w:val="00297CF7"/>
    <w:rsid w:val="00297D1C"/>
    <w:rsid w:val="002A056D"/>
    <w:rsid w:val="002A0911"/>
    <w:rsid w:val="002A0E0E"/>
    <w:rsid w:val="002A0F92"/>
    <w:rsid w:val="002A147E"/>
    <w:rsid w:val="002A28E4"/>
    <w:rsid w:val="002A45A0"/>
    <w:rsid w:val="002A659F"/>
    <w:rsid w:val="002A65B9"/>
    <w:rsid w:val="002A6CD4"/>
    <w:rsid w:val="002A70E4"/>
    <w:rsid w:val="002A76ED"/>
    <w:rsid w:val="002A7CF4"/>
    <w:rsid w:val="002B074F"/>
    <w:rsid w:val="002B07A2"/>
    <w:rsid w:val="002B282D"/>
    <w:rsid w:val="002B2A4F"/>
    <w:rsid w:val="002B31EE"/>
    <w:rsid w:val="002B5000"/>
    <w:rsid w:val="002B54B6"/>
    <w:rsid w:val="002B618D"/>
    <w:rsid w:val="002B6D06"/>
    <w:rsid w:val="002B723B"/>
    <w:rsid w:val="002C0631"/>
    <w:rsid w:val="002C09E7"/>
    <w:rsid w:val="002C0B1D"/>
    <w:rsid w:val="002C0DDB"/>
    <w:rsid w:val="002C0E27"/>
    <w:rsid w:val="002C0E35"/>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07735"/>
    <w:rsid w:val="00310A2E"/>
    <w:rsid w:val="00311760"/>
    <w:rsid w:val="00311B0B"/>
    <w:rsid w:val="003124D8"/>
    <w:rsid w:val="00312722"/>
    <w:rsid w:val="003128D3"/>
    <w:rsid w:val="00314F33"/>
    <w:rsid w:val="00315E48"/>
    <w:rsid w:val="0031799C"/>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9BD"/>
    <w:rsid w:val="00336F9C"/>
    <w:rsid w:val="00337877"/>
    <w:rsid w:val="00337E7E"/>
    <w:rsid w:val="00337FD3"/>
    <w:rsid w:val="003405E4"/>
    <w:rsid w:val="00340784"/>
    <w:rsid w:val="003416A7"/>
    <w:rsid w:val="0034195D"/>
    <w:rsid w:val="0034223C"/>
    <w:rsid w:val="00342D2C"/>
    <w:rsid w:val="00342DA5"/>
    <w:rsid w:val="003434E6"/>
    <w:rsid w:val="003437F2"/>
    <w:rsid w:val="00343C51"/>
    <w:rsid w:val="00343DC6"/>
    <w:rsid w:val="0034424A"/>
    <w:rsid w:val="003446A6"/>
    <w:rsid w:val="0034532C"/>
    <w:rsid w:val="00345459"/>
    <w:rsid w:val="00345B56"/>
    <w:rsid w:val="00346AE8"/>
    <w:rsid w:val="00347365"/>
    <w:rsid w:val="003500B1"/>
    <w:rsid w:val="00351001"/>
    <w:rsid w:val="0035162D"/>
    <w:rsid w:val="00351848"/>
    <w:rsid w:val="003524BA"/>
    <w:rsid w:val="003529BE"/>
    <w:rsid w:val="00352F79"/>
    <w:rsid w:val="0035301C"/>
    <w:rsid w:val="00353B4E"/>
    <w:rsid w:val="00353BFB"/>
    <w:rsid w:val="00353EC1"/>
    <w:rsid w:val="003551BF"/>
    <w:rsid w:val="003554EF"/>
    <w:rsid w:val="003561B8"/>
    <w:rsid w:val="003562F5"/>
    <w:rsid w:val="00360354"/>
    <w:rsid w:val="00360A5E"/>
    <w:rsid w:val="00360B89"/>
    <w:rsid w:val="0036124B"/>
    <w:rsid w:val="0036137E"/>
    <w:rsid w:val="00361EAE"/>
    <w:rsid w:val="00362AFF"/>
    <w:rsid w:val="0036491D"/>
    <w:rsid w:val="00364E07"/>
    <w:rsid w:val="003657C5"/>
    <w:rsid w:val="00365B44"/>
    <w:rsid w:val="003677FD"/>
    <w:rsid w:val="00370344"/>
    <w:rsid w:val="003704BA"/>
    <w:rsid w:val="00370933"/>
    <w:rsid w:val="00371610"/>
    <w:rsid w:val="00372171"/>
    <w:rsid w:val="0037232A"/>
    <w:rsid w:val="00372F3B"/>
    <w:rsid w:val="0037323A"/>
    <w:rsid w:val="00374F38"/>
    <w:rsid w:val="003754FB"/>
    <w:rsid w:val="003768F7"/>
    <w:rsid w:val="00376D97"/>
    <w:rsid w:val="00377F9D"/>
    <w:rsid w:val="00380CBF"/>
    <w:rsid w:val="00381F91"/>
    <w:rsid w:val="0038315D"/>
    <w:rsid w:val="00384477"/>
    <w:rsid w:val="003868E0"/>
    <w:rsid w:val="00386D74"/>
    <w:rsid w:val="00387CA5"/>
    <w:rsid w:val="00390529"/>
    <w:rsid w:val="003908C5"/>
    <w:rsid w:val="00391642"/>
    <w:rsid w:val="00391B4F"/>
    <w:rsid w:val="00392323"/>
    <w:rsid w:val="00392DC2"/>
    <w:rsid w:val="00392F20"/>
    <w:rsid w:val="00395208"/>
    <w:rsid w:val="003954A0"/>
    <w:rsid w:val="0039584E"/>
    <w:rsid w:val="003967FC"/>
    <w:rsid w:val="00397EAE"/>
    <w:rsid w:val="003A0AEF"/>
    <w:rsid w:val="003A0C83"/>
    <w:rsid w:val="003A2B71"/>
    <w:rsid w:val="003A2C26"/>
    <w:rsid w:val="003A2EF7"/>
    <w:rsid w:val="003A38ED"/>
    <w:rsid w:val="003A3EBA"/>
    <w:rsid w:val="003A513C"/>
    <w:rsid w:val="003A538C"/>
    <w:rsid w:val="003A571C"/>
    <w:rsid w:val="003A5879"/>
    <w:rsid w:val="003A5F1F"/>
    <w:rsid w:val="003A6EF9"/>
    <w:rsid w:val="003A7CC3"/>
    <w:rsid w:val="003B11A0"/>
    <w:rsid w:val="003B16A1"/>
    <w:rsid w:val="003B18BB"/>
    <w:rsid w:val="003B1E8F"/>
    <w:rsid w:val="003B32C8"/>
    <w:rsid w:val="003B5298"/>
    <w:rsid w:val="003B53AF"/>
    <w:rsid w:val="003B5456"/>
    <w:rsid w:val="003B58E8"/>
    <w:rsid w:val="003B61DF"/>
    <w:rsid w:val="003B6806"/>
    <w:rsid w:val="003B6CF1"/>
    <w:rsid w:val="003B7C27"/>
    <w:rsid w:val="003C0065"/>
    <w:rsid w:val="003C054E"/>
    <w:rsid w:val="003C0EE7"/>
    <w:rsid w:val="003C15C0"/>
    <w:rsid w:val="003C1B72"/>
    <w:rsid w:val="003C317E"/>
    <w:rsid w:val="003C32C1"/>
    <w:rsid w:val="003C3731"/>
    <w:rsid w:val="003C3A2D"/>
    <w:rsid w:val="003C3D6F"/>
    <w:rsid w:val="003C3F0B"/>
    <w:rsid w:val="003C40FA"/>
    <w:rsid w:val="003C444C"/>
    <w:rsid w:val="003C447C"/>
    <w:rsid w:val="003C527F"/>
    <w:rsid w:val="003C57AD"/>
    <w:rsid w:val="003C5DAB"/>
    <w:rsid w:val="003C67EA"/>
    <w:rsid w:val="003C79BE"/>
    <w:rsid w:val="003C7E88"/>
    <w:rsid w:val="003C7EA4"/>
    <w:rsid w:val="003D00B0"/>
    <w:rsid w:val="003D00FB"/>
    <w:rsid w:val="003D0517"/>
    <w:rsid w:val="003D0AB5"/>
    <w:rsid w:val="003D1C5A"/>
    <w:rsid w:val="003D2E19"/>
    <w:rsid w:val="003D3C8C"/>
    <w:rsid w:val="003D3EED"/>
    <w:rsid w:val="003D4354"/>
    <w:rsid w:val="003D45E6"/>
    <w:rsid w:val="003D59A1"/>
    <w:rsid w:val="003D7018"/>
    <w:rsid w:val="003D720F"/>
    <w:rsid w:val="003D7277"/>
    <w:rsid w:val="003E07C0"/>
    <w:rsid w:val="003E128F"/>
    <w:rsid w:val="003E17B9"/>
    <w:rsid w:val="003E2142"/>
    <w:rsid w:val="003E2422"/>
    <w:rsid w:val="003E24AD"/>
    <w:rsid w:val="003E257E"/>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867"/>
    <w:rsid w:val="003F2498"/>
    <w:rsid w:val="003F283A"/>
    <w:rsid w:val="003F2E32"/>
    <w:rsid w:val="003F3EB3"/>
    <w:rsid w:val="003F41F6"/>
    <w:rsid w:val="003F42D7"/>
    <w:rsid w:val="003F5072"/>
    <w:rsid w:val="003F54DC"/>
    <w:rsid w:val="003F72F8"/>
    <w:rsid w:val="003F7E41"/>
    <w:rsid w:val="003F7E6B"/>
    <w:rsid w:val="00400436"/>
    <w:rsid w:val="00400D83"/>
    <w:rsid w:val="00400DB0"/>
    <w:rsid w:val="00401F0C"/>
    <w:rsid w:val="00402B4A"/>
    <w:rsid w:val="00402F03"/>
    <w:rsid w:val="00403C82"/>
    <w:rsid w:val="00404091"/>
    <w:rsid w:val="004043A7"/>
    <w:rsid w:val="0040484E"/>
    <w:rsid w:val="004070D2"/>
    <w:rsid w:val="00410284"/>
    <w:rsid w:val="004103A8"/>
    <w:rsid w:val="00410E7A"/>
    <w:rsid w:val="004111FA"/>
    <w:rsid w:val="0041369A"/>
    <w:rsid w:val="004137DF"/>
    <w:rsid w:val="00413DB3"/>
    <w:rsid w:val="00413EC0"/>
    <w:rsid w:val="00413F2E"/>
    <w:rsid w:val="00414C86"/>
    <w:rsid w:val="00415986"/>
    <w:rsid w:val="00415FBE"/>
    <w:rsid w:val="00416A69"/>
    <w:rsid w:val="0041703D"/>
    <w:rsid w:val="00417265"/>
    <w:rsid w:val="004208AF"/>
    <w:rsid w:val="00421B2B"/>
    <w:rsid w:val="00421E75"/>
    <w:rsid w:val="00423A3B"/>
    <w:rsid w:val="00423BC1"/>
    <w:rsid w:val="00423F18"/>
    <w:rsid w:val="00424D3E"/>
    <w:rsid w:val="00424D7C"/>
    <w:rsid w:val="004261C9"/>
    <w:rsid w:val="004263CB"/>
    <w:rsid w:val="00426A24"/>
    <w:rsid w:val="00426A5A"/>
    <w:rsid w:val="004306E1"/>
    <w:rsid w:val="00430776"/>
    <w:rsid w:val="0043210A"/>
    <w:rsid w:val="0043291B"/>
    <w:rsid w:val="0043297B"/>
    <w:rsid w:val="004331DC"/>
    <w:rsid w:val="0043372A"/>
    <w:rsid w:val="00433C22"/>
    <w:rsid w:val="0043446D"/>
    <w:rsid w:val="004348F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E6"/>
    <w:rsid w:val="00473005"/>
    <w:rsid w:val="004732B0"/>
    <w:rsid w:val="00473C04"/>
    <w:rsid w:val="00475CAB"/>
    <w:rsid w:val="00475F5A"/>
    <w:rsid w:val="00476C37"/>
    <w:rsid w:val="0047704D"/>
    <w:rsid w:val="00477FC9"/>
    <w:rsid w:val="0048101A"/>
    <w:rsid w:val="00481394"/>
    <w:rsid w:val="00481444"/>
    <w:rsid w:val="00482308"/>
    <w:rsid w:val="004841F2"/>
    <w:rsid w:val="004846C8"/>
    <w:rsid w:val="0048535E"/>
    <w:rsid w:val="004863D5"/>
    <w:rsid w:val="00487C2F"/>
    <w:rsid w:val="00487D09"/>
    <w:rsid w:val="00487DA9"/>
    <w:rsid w:val="00490021"/>
    <w:rsid w:val="00490D39"/>
    <w:rsid w:val="0049197C"/>
    <w:rsid w:val="00491F92"/>
    <w:rsid w:val="00491FF9"/>
    <w:rsid w:val="00492237"/>
    <w:rsid w:val="0049388D"/>
    <w:rsid w:val="0049455D"/>
    <w:rsid w:val="0049506F"/>
    <w:rsid w:val="004953E5"/>
    <w:rsid w:val="004968F7"/>
    <w:rsid w:val="00496A7B"/>
    <w:rsid w:val="00496B28"/>
    <w:rsid w:val="004979BA"/>
    <w:rsid w:val="00497BB4"/>
    <w:rsid w:val="004A15E1"/>
    <w:rsid w:val="004A1828"/>
    <w:rsid w:val="004A1D68"/>
    <w:rsid w:val="004A20AC"/>
    <w:rsid w:val="004A430C"/>
    <w:rsid w:val="004A4564"/>
    <w:rsid w:val="004A599D"/>
    <w:rsid w:val="004A6C09"/>
    <w:rsid w:val="004A765A"/>
    <w:rsid w:val="004A7A9E"/>
    <w:rsid w:val="004A7AF9"/>
    <w:rsid w:val="004A7E46"/>
    <w:rsid w:val="004B0D35"/>
    <w:rsid w:val="004B128B"/>
    <w:rsid w:val="004B1323"/>
    <w:rsid w:val="004B1459"/>
    <w:rsid w:val="004B14B0"/>
    <w:rsid w:val="004B280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AA1"/>
    <w:rsid w:val="004C2FA0"/>
    <w:rsid w:val="004C4816"/>
    <w:rsid w:val="004C71A7"/>
    <w:rsid w:val="004D04E3"/>
    <w:rsid w:val="004D0983"/>
    <w:rsid w:val="004D0AEB"/>
    <w:rsid w:val="004D151E"/>
    <w:rsid w:val="004D24D8"/>
    <w:rsid w:val="004D35B0"/>
    <w:rsid w:val="004D3704"/>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7105"/>
    <w:rsid w:val="004E73E9"/>
    <w:rsid w:val="004E7EB5"/>
    <w:rsid w:val="004F02E0"/>
    <w:rsid w:val="004F091C"/>
    <w:rsid w:val="004F0A39"/>
    <w:rsid w:val="004F2404"/>
    <w:rsid w:val="004F3FF8"/>
    <w:rsid w:val="004F5702"/>
    <w:rsid w:val="004F6234"/>
    <w:rsid w:val="004F670E"/>
    <w:rsid w:val="004F6725"/>
    <w:rsid w:val="004F6AD5"/>
    <w:rsid w:val="004F6ED8"/>
    <w:rsid w:val="004F71B2"/>
    <w:rsid w:val="004F74A5"/>
    <w:rsid w:val="004F75EF"/>
    <w:rsid w:val="004F77C1"/>
    <w:rsid w:val="004F7DAC"/>
    <w:rsid w:val="0050002C"/>
    <w:rsid w:val="00500EF6"/>
    <w:rsid w:val="00501257"/>
    <w:rsid w:val="0050146E"/>
    <w:rsid w:val="0050202B"/>
    <w:rsid w:val="0050247E"/>
    <w:rsid w:val="00502623"/>
    <w:rsid w:val="005026A0"/>
    <w:rsid w:val="005030D8"/>
    <w:rsid w:val="005032DD"/>
    <w:rsid w:val="0050676F"/>
    <w:rsid w:val="005072A8"/>
    <w:rsid w:val="00507765"/>
    <w:rsid w:val="005078DF"/>
    <w:rsid w:val="00507DB6"/>
    <w:rsid w:val="00510602"/>
    <w:rsid w:val="00510613"/>
    <w:rsid w:val="00510BBB"/>
    <w:rsid w:val="005110DF"/>
    <w:rsid w:val="00511782"/>
    <w:rsid w:val="00511A09"/>
    <w:rsid w:val="00511B9B"/>
    <w:rsid w:val="00513538"/>
    <w:rsid w:val="00513C39"/>
    <w:rsid w:val="00513FF0"/>
    <w:rsid w:val="005149F5"/>
    <w:rsid w:val="005158EE"/>
    <w:rsid w:val="005175FD"/>
    <w:rsid w:val="0051781B"/>
    <w:rsid w:val="00517EAA"/>
    <w:rsid w:val="00521B2E"/>
    <w:rsid w:val="00521BBA"/>
    <w:rsid w:val="005223D9"/>
    <w:rsid w:val="005226A4"/>
    <w:rsid w:val="00522A89"/>
    <w:rsid w:val="00523E40"/>
    <w:rsid w:val="00523FFC"/>
    <w:rsid w:val="005241BD"/>
    <w:rsid w:val="005242BB"/>
    <w:rsid w:val="0052432B"/>
    <w:rsid w:val="00525226"/>
    <w:rsid w:val="00526959"/>
    <w:rsid w:val="00527002"/>
    <w:rsid w:val="00527265"/>
    <w:rsid w:val="005274AE"/>
    <w:rsid w:val="0052758E"/>
    <w:rsid w:val="00527A10"/>
    <w:rsid w:val="00530413"/>
    <w:rsid w:val="00530DE1"/>
    <w:rsid w:val="00530E8E"/>
    <w:rsid w:val="005323CF"/>
    <w:rsid w:val="005330C0"/>
    <w:rsid w:val="005347ED"/>
    <w:rsid w:val="00534BAB"/>
    <w:rsid w:val="005360C6"/>
    <w:rsid w:val="005362EB"/>
    <w:rsid w:val="005364BD"/>
    <w:rsid w:val="00537B76"/>
    <w:rsid w:val="00540977"/>
    <w:rsid w:val="0054175F"/>
    <w:rsid w:val="0054259B"/>
    <w:rsid w:val="00542A4D"/>
    <w:rsid w:val="00543239"/>
    <w:rsid w:val="00543268"/>
    <w:rsid w:val="005436A9"/>
    <w:rsid w:val="00543A71"/>
    <w:rsid w:val="00543C05"/>
    <w:rsid w:val="00544C32"/>
    <w:rsid w:val="005456FB"/>
    <w:rsid w:val="00545FEB"/>
    <w:rsid w:val="00546573"/>
    <w:rsid w:val="00546EAF"/>
    <w:rsid w:val="00547647"/>
    <w:rsid w:val="00550013"/>
    <w:rsid w:val="005513C5"/>
    <w:rsid w:val="00551A3A"/>
    <w:rsid w:val="00551A54"/>
    <w:rsid w:val="00552096"/>
    <w:rsid w:val="005522CE"/>
    <w:rsid w:val="00552987"/>
    <w:rsid w:val="00552DDB"/>
    <w:rsid w:val="00552E86"/>
    <w:rsid w:val="00553A8A"/>
    <w:rsid w:val="00553B4E"/>
    <w:rsid w:val="00554E05"/>
    <w:rsid w:val="0055519B"/>
    <w:rsid w:val="005552C1"/>
    <w:rsid w:val="00555EAB"/>
    <w:rsid w:val="00557740"/>
    <w:rsid w:val="00560793"/>
    <w:rsid w:val="005609E4"/>
    <w:rsid w:val="00561336"/>
    <w:rsid w:val="00562271"/>
    <w:rsid w:val="005622B9"/>
    <w:rsid w:val="0056382B"/>
    <w:rsid w:val="0056495C"/>
    <w:rsid w:val="00564A11"/>
    <w:rsid w:val="00566438"/>
    <w:rsid w:val="00566E95"/>
    <w:rsid w:val="00566EC1"/>
    <w:rsid w:val="00570655"/>
    <w:rsid w:val="00570F96"/>
    <w:rsid w:val="005715F9"/>
    <w:rsid w:val="00571FC8"/>
    <w:rsid w:val="00573D48"/>
    <w:rsid w:val="00573E1E"/>
    <w:rsid w:val="005740F2"/>
    <w:rsid w:val="005742D2"/>
    <w:rsid w:val="00574454"/>
    <w:rsid w:val="00577D1F"/>
    <w:rsid w:val="00580A46"/>
    <w:rsid w:val="00580A64"/>
    <w:rsid w:val="00580B78"/>
    <w:rsid w:val="0058114D"/>
    <w:rsid w:val="005814CB"/>
    <w:rsid w:val="00581D00"/>
    <w:rsid w:val="005822B4"/>
    <w:rsid w:val="00584E86"/>
    <w:rsid w:val="00586133"/>
    <w:rsid w:val="005861E2"/>
    <w:rsid w:val="00586EBF"/>
    <w:rsid w:val="005900F7"/>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467"/>
    <w:rsid w:val="005A188C"/>
    <w:rsid w:val="005A2032"/>
    <w:rsid w:val="005A36B4"/>
    <w:rsid w:val="005A3726"/>
    <w:rsid w:val="005A548F"/>
    <w:rsid w:val="005A55F5"/>
    <w:rsid w:val="005A5621"/>
    <w:rsid w:val="005A5A38"/>
    <w:rsid w:val="005A63BE"/>
    <w:rsid w:val="005A68A7"/>
    <w:rsid w:val="005A75E5"/>
    <w:rsid w:val="005A7783"/>
    <w:rsid w:val="005A7A9A"/>
    <w:rsid w:val="005B02A1"/>
    <w:rsid w:val="005B163D"/>
    <w:rsid w:val="005B168A"/>
    <w:rsid w:val="005B19DE"/>
    <w:rsid w:val="005B1B40"/>
    <w:rsid w:val="005B1FE8"/>
    <w:rsid w:val="005B290C"/>
    <w:rsid w:val="005B3594"/>
    <w:rsid w:val="005B43DD"/>
    <w:rsid w:val="005B525A"/>
    <w:rsid w:val="005B6747"/>
    <w:rsid w:val="005B6AED"/>
    <w:rsid w:val="005C168E"/>
    <w:rsid w:val="005C2066"/>
    <w:rsid w:val="005C26C1"/>
    <w:rsid w:val="005C3183"/>
    <w:rsid w:val="005C31E0"/>
    <w:rsid w:val="005C3906"/>
    <w:rsid w:val="005C4564"/>
    <w:rsid w:val="005C5090"/>
    <w:rsid w:val="005C5934"/>
    <w:rsid w:val="005C71A2"/>
    <w:rsid w:val="005C746C"/>
    <w:rsid w:val="005D117A"/>
    <w:rsid w:val="005D1EC0"/>
    <w:rsid w:val="005D2076"/>
    <w:rsid w:val="005D33AD"/>
    <w:rsid w:val="005D33D9"/>
    <w:rsid w:val="005D3515"/>
    <w:rsid w:val="005D4405"/>
    <w:rsid w:val="005D68AD"/>
    <w:rsid w:val="005D694A"/>
    <w:rsid w:val="005D7056"/>
    <w:rsid w:val="005D7914"/>
    <w:rsid w:val="005E070C"/>
    <w:rsid w:val="005E2490"/>
    <w:rsid w:val="005E2545"/>
    <w:rsid w:val="005E27CB"/>
    <w:rsid w:val="005E3421"/>
    <w:rsid w:val="005E3C1C"/>
    <w:rsid w:val="005E45AA"/>
    <w:rsid w:val="005E4797"/>
    <w:rsid w:val="005E5033"/>
    <w:rsid w:val="005E636C"/>
    <w:rsid w:val="005E7D63"/>
    <w:rsid w:val="005F2747"/>
    <w:rsid w:val="005F4571"/>
    <w:rsid w:val="005F4C90"/>
    <w:rsid w:val="005F59E5"/>
    <w:rsid w:val="005F713A"/>
    <w:rsid w:val="005F752A"/>
    <w:rsid w:val="006004FB"/>
    <w:rsid w:val="00601283"/>
    <w:rsid w:val="006013CB"/>
    <w:rsid w:val="0060258E"/>
    <w:rsid w:val="00602852"/>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84A"/>
    <w:rsid w:val="00621BC4"/>
    <w:rsid w:val="00622AAA"/>
    <w:rsid w:val="00623A7C"/>
    <w:rsid w:val="00623D2F"/>
    <w:rsid w:val="00624209"/>
    <w:rsid w:val="00624E0A"/>
    <w:rsid w:val="0062656C"/>
    <w:rsid w:val="00626C25"/>
    <w:rsid w:val="0062772B"/>
    <w:rsid w:val="00630755"/>
    <w:rsid w:val="00630AF6"/>
    <w:rsid w:val="00632719"/>
    <w:rsid w:val="00632CDA"/>
    <w:rsid w:val="00633CDB"/>
    <w:rsid w:val="006351E1"/>
    <w:rsid w:val="00635A98"/>
    <w:rsid w:val="0064037A"/>
    <w:rsid w:val="006403FA"/>
    <w:rsid w:val="006407B3"/>
    <w:rsid w:val="006416EF"/>
    <w:rsid w:val="0064284B"/>
    <w:rsid w:val="00643765"/>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5563"/>
    <w:rsid w:val="00655758"/>
    <w:rsid w:val="006557F1"/>
    <w:rsid w:val="00657301"/>
    <w:rsid w:val="006573A2"/>
    <w:rsid w:val="006575BD"/>
    <w:rsid w:val="00660356"/>
    <w:rsid w:val="00660553"/>
    <w:rsid w:val="006620BE"/>
    <w:rsid w:val="0066350A"/>
    <w:rsid w:val="00663B4A"/>
    <w:rsid w:val="00663E65"/>
    <w:rsid w:val="00663EEA"/>
    <w:rsid w:val="00664228"/>
    <w:rsid w:val="0066431D"/>
    <w:rsid w:val="006649B1"/>
    <w:rsid w:val="00664C41"/>
    <w:rsid w:val="00665DE3"/>
    <w:rsid w:val="00666080"/>
    <w:rsid w:val="006670FD"/>
    <w:rsid w:val="006673B7"/>
    <w:rsid w:val="00667BC8"/>
    <w:rsid w:val="00667C22"/>
    <w:rsid w:val="0067006B"/>
    <w:rsid w:val="00671507"/>
    <w:rsid w:val="00671E73"/>
    <w:rsid w:val="0067234B"/>
    <w:rsid w:val="00672AAC"/>
    <w:rsid w:val="00672F0D"/>
    <w:rsid w:val="00673495"/>
    <w:rsid w:val="00673FA1"/>
    <w:rsid w:val="006742D2"/>
    <w:rsid w:val="00675B63"/>
    <w:rsid w:val="00675BAD"/>
    <w:rsid w:val="00675D3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51D1"/>
    <w:rsid w:val="00685533"/>
    <w:rsid w:val="00686618"/>
    <w:rsid w:val="00686CE0"/>
    <w:rsid w:val="0068774F"/>
    <w:rsid w:val="0068799D"/>
    <w:rsid w:val="00687DAC"/>
    <w:rsid w:val="00687E63"/>
    <w:rsid w:val="00687F39"/>
    <w:rsid w:val="00690889"/>
    <w:rsid w:val="00690C15"/>
    <w:rsid w:val="00691582"/>
    <w:rsid w:val="00691AC8"/>
    <w:rsid w:val="00692514"/>
    <w:rsid w:val="00692937"/>
    <w:rsid w:val="006931B9"/>
    <w:rsid w:val="0069363F"/>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F19"/>
    <w:rsid w:val="006A40EB"/>
    <w:rsid w:val="006A4A79"/>
    <w:rsid w:val="006A663D"/>
    <w:rsid w:val="006A6724"/>
    <w:rsid w:val="006A6FB3"/>
    <w:rsid w:val="006B1098"/>
    <w:rsid w:val="006B180B"/>
    <w:rsid w:val="006B2C61"/>
    <w:rsid w:val="006B3F25"/>
    <w:rsid w:val="006B536C"/>
    <w:rsid w:val="006B558E"/>
    <w:rsid w:val="006B575B"/>
    <w:rsid w:val="006B5C2D"/>
    <w:rsid w:val="006B78C6"/>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41E2"/>
    <w:rsid w:val="006E4625"/>
    <w:rsid w:val="006E4DCB"/>
    <w:rsid w:val="006E60AC"/>
    <w:rsid w:val="006E6435"/>
    <w:rsid w:val="006E6F97"/>
    <w:rsid w:val="006E76E8"/>
    <w:rsid w:val="006E7726"/>
    <w:rsid w:val="006F0C5B"/>
    <w:rsid w:val="006F0DBC"/>
    <w:rsid w:val="006F11F7"/>
    <w:rsid w:val="006F1844"/>
    <w:rsid w:val="006F19FD"/>
    <w:rsid w:val="006F28D6"/>
    <w:rsid w:val="006F3851"/>
    <w:rsid w:val="006F3C39"/>
    <w:rsid w:val="006F3EE1"/>
    <w:rsid w:val="006F3F1A"/>
    <w:rsid w:val="006F4133"/>
    <w:rsid w:val="006F4389"/>
    <w:rsid w:val="006F49E9"/>
    <w:rsid w:val="006F5BF4"/>
    <w:rsid w:val="006F6720"/>
    <w:rsid w:val="006F783B"/>
    <w:rsid w:val="006F7B47"/>
    <w:rsid w:val="006F7B7A"/>
    <w:rsid w:val="006F7EC3"/>
    <w:rsid w:val="0070172F"/>
    <w:rsid w:val="00702521"/>
    <w:rsid w:val="00702D90"/>
    <w:rsid w:val="00703CD0"/>
    <w:rsid w:val="00703E8A"/>
    <w:rsid w:val="007058E7"/>
    <w:rsid w:val="00705DAE"/>
    <w:rsid w:val="007060DB"/>
    <w:rsid w:val="007067D3"/>
    <w:rsid w:val="0070688A"/>
    <w:rsid w:val="00706E5F"/>
    <w:rsid w:val="00707227"/>
    <w:rsid w:val="0071036F"/>
    <w:rsid w:val="00710B3B"/>
    <w:rsid w:val="00711A9D"/>
    <w:rsid w:val="007125FB"/>
    <w:rsid w:val="00713815"/>
    <w:rsid w:val="0071383D"/>
    <w:rsid w:val="00714A49"/>
    <w:rsid w:val="00714E2D"/>
    <w:rsid w:val="0071510A"/>
    <w:rsid w:val="007151C1"/>
    <w:rsid w:val="007156D0"/>
    <w:rsid w:val="00716B09"/>
    <w:rsid w:val="00716CE1"/>
    <w:rsid w:val="007177C2"/>
    <w:rsid w:val="00717943"/>
    <w:rsid w:val="00717CCD"/>
    <w:rsid w:val="00717E67"/>
    <w:rsid w:val="007202B1"/>
    <w:rsid w:val="00721423"/>
    <w:rsid w:val="00721B6C"/>
    <w:rsid w:val="00721E26"/>
    <w:rsid w:val="00722A54"/>
    <w:rsid w:val="00722BB0"/>
    <w:rsid w:val="007230A2"/>
    <w:rsid w:val="00723181"/>
    <w:rsid w:val="007234C2"/>
    <w:rsid w:val="00723830"/>
    <w:rsid w:val="00724103"/>
    <w:rsid w:val="00724156"/>
    <w:rsid w:val="007245EC"/>
    <w:rsid w:val="00725332"/>
    <w:rsid w:val="00725333"/>
    <w:rsid w:val="00725C74"/>
    <w:rsid w:val="00726B90"/>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F3B"/>
    <w:rsid w:val="00741DD3"/>
    <w:rsid w:val="00742BB1"/>
    <w:rsid w:val="00743330"/>
    <w:rsid w:val="007435AE"/>
    <w:rsid w:val="00744F92"/>
    <w:rsid w:val="007450C1"/>
    <w:rsid w:val="00745669"/>
    <w:rsid w:val="00745F5D"/>
    <w:rsid w:val="00745F7F"/>
    <w:rsid w:val="0074629E"/>
    <w:rsid w:val="0074707E"/>
    <w:rsid w:val="007479F9"/>
    <w:rsid w:val="00747C32"/>
    <w:rsid w:val="00750C7F"/>
    <w:rsid w:val="00751D70"/>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611C3"/>
    <w:rsid w:val="00761562"/>
    <w:rsid w:val="00761638"/>
    <w:rsid w:val="0076217A"/>
    <w:rsid w:val="007622FC"/>
    <w:rsid w:val="00762A46"/>
    <w:rsid w:val="0076326C"/>
    <w:rsid w:val="007634D6"/>
    <w:rsid w:val="00763EB8"/>
    <w:rsid w:val="00765C58"/>
    <w:rsid w:val="00766DDB"/>
    <w:rsid w:val="007676BB"/>
    <w:rsid w:val="00767D23"/>
    <w:rsid w:val="007706F5"/>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6CC"/>
    <w:rsid w:val="0077798C"/>
    <w:rsid w:val="00777C3A"/>
    <w:rsid w:val="00777E26"/>
    <w:rsid w:val="007809DE"/>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A0651"/>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B0DC9"/>
    <w:rsid w:val="007B0E3D"/>
    <w:rsid w:val="007B17D4"/>
    <w:rsid w:val="007B2A18"/>
    <w:rsid w:val="007B3668"/>
    <w:rsid w:val="007B3891"/>
    <w:rsid w:val="007B38CA"/>
    <w:rsid w:val="007B5137"/>
    <w:rsid w:val="007B58CB"/>
    <w:rsid w:val="007B5D5F"/>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745"/>
    <w:rsid w:val="007D3C43"/>
    <w:rsid w:val="007D5444"/>
    <w:rsid w:val="007D584C"/>
    <w:rsid w:val="007D6120"/>
    <w:rsid w:val="007D6A3E"/>
    <w:rsid w:val="007D6BCA"/>
    <w:rsid w:val="007E0994"/>
    <w:rsid w:val="007E2833"/>
    <w:rsid w:val="007E43C0"/>
    <w:rsid w:val="007E467D"/>
    <w:rsid w:val="007E469D"/>
    <w:rsid w:val="007E5974"/>
    <w:rsid w:val="007E63CF"/>
    <w:rsid w:val="007E657D"/>
    <w:rsid w:val="007F0CA5"/>
    <w:rsid w:val="007F0D9F"/>
    <w:rsid w:val="007F0FAA"/>
    <w:rsid w:val="007F1607"/>
    <w:rsid w:val="007F2295"/>
    <w:rsid w:val="007F2698"/>
    <w:rsid w:val="007F271C"/>
    <w:rsid w:val="007F3D9D"/>
    <w:rsid w:val="007F3DF1"/>
    <w:rsid w:val="007F4548"/>
    <w:rsid w:val="007F4B78"/>
    <w:rsid w:val="007F58E5"/>
    <w:rsid w:val="007F63C7"/>
    <w:rsid w:val="007F63CD"/>
    <w:rsid w:val="007F69A9"/>
    <w:rsid w:val="007F74FF"/>
    <w:rsid w:val="007F777F"/>
    <w:rsid w:val="007F7E21"/>
    <w:rsid w:val="0080010C"/>
    <w:rsid w:val="00800572"/>
    <w:rsid w:val="008010A6"/>
    <w:rsid w:val="008028F2"/>
    <w:rsid w:val="008035F0"/>
    <w:rsid w:val="008039FF"/>
    <w:rsid w:val="00804AA4"/>
    <w:rsid w:val="00805AF5"/>
    <w:rsid w:val="008064B8"/>
    <w:rsid w:val="008076EA"/>
    <w:rsid w:val="00807C15"/>
    <w:rsid w:val="0081017A"/>
    <w:rsid w:val="008104F7"/>
    <w:rsid w:val="00811D8A"/>
    <w:rsid w:val="00811FEF"/>
    <w:rsid w:val="008122FE"/>
    <w:rsid w:val="0081246C"/>
    <w:rsid w:val="00812898"/>
    <w:rsid w:val="00812AD8"/>
    <w:rsid w:val="00812B25"/>
    <w:rsid w:val="008132FE"/>
    <w:rsid w:val="008138C2"/>
    <w:rsid w:val="00813ACE"/>
    <w:rsid w:val="00814618"/>
    <w:rsid w:val="00814A4E"/>
    <w:rsid w:val="00814D0A"/>
    <w:rsid w:val="00814F3F"/>
    <w:rsid w:val="00815FF4"/>
    <w:rsid w:val="0081633F"/>
    <w:rsid w:val="0081693E"/>
    <w:rsid w:val="00816E24"/>
    <w:rsid w:val="00817122"/>
    <w:rsid w:val="00817333"/>
    <w:rsid w:val="00817CAD"/>
    <w:rsid w:val="00820135"/>
    <w:rsid w:val="00822708"/>
    <w:rsid w:val="00823DD9"/>
    <w:rsid w:val="008253D1"/>
    <w:rsid w:val="00825418"/>
    <w:rsid w:val="00826329"/>
    <w:rsid w:val="00826B00"/>
    <w:rsid w:val="00826B43"/>
    <w:rsid w:val="008270B2"/>
    <w:rsid w:val="00827E6F"/>
    <w:rsid w:val="00827F4F"/>
    <w:rsid w:val="008309B4"/>
    <w:rsid w:val="008315B2"/>
    <w:rsid w:val="0083177C"/>
    <w:rsid w:val="00831A11"/>
    <w:rsid w:val="00831D9A"/>
    <w:rsid w:val="00832DB1"/>
    <w:rsid w:val="0083362A"/>
    <w:rsid w:val="00834C3F"/>
    <w:rsid w:val="00835CF9"/>
    <w:rsid w:val="008363F8"/>
    <w:rsid w:val="00836B1E"/>
    <w:rsid w:val="008370C1"/>
    <w:rsid w:val="008373A6"/>
    <w:rsid w:val="00837620"/>
    <w:rsid w:val="008377E6"/>
    <w:rsid w:val="008378D2"/>
    <w:rsid w:val="008414F7"/>
    <w:rsid w:val="00841624"/>
    <w:rsid w:val="00842AAC"/>
    <w:rsid w:val="0084367A"/>
    <w:rsid w:val="00844353"/>
    <w:rsid w:val="008449DA"/>
    <w:rsid w:val="00844A17"/>
    <w:rsid w:val="00844A82"/>
    <w:rsid w:val="008450F5"/>
    <w:rsid w:val="00845240"/>
    <w:rsid w:val="008455CF"/>
    <w:rsid w:val="00845865"/>
    <w:rsid w:val="00846894"/>
    <w:rsid w:val="00846CB7"/>
    <w:rsid w:val="00851471"/>
    <w:rsid w:val="00851AF2"/>
    <w:rsid w:val="00852DB7"/>
    <w:rsid w:val="0085307A"/>
    <w:rsid w:val="00853DA0"/>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729"/>
    <w:rsid w:val="0088170D"/>
    <w:rsid w:val="00881E2E"/>
    <w:rsid w:val="00882724"/>
    <w:rsid w:val="00882C77"/>
    <w:rsid w:val="0088324B"/>
    <w:rsid w:val="00883BEA"/>
    <w:rsid w:val="00883DF9"/>
    <w:rsid w:val="00884F09"/>
    <w:rsid w:val="008855FE"/>
    <w:rsid w:val="008860F5"/>
    <w:rsid w:val="0088684E"/>
    <w:rsid w:val="008910B7"/>
    <w:rsid w:val="0089220D"/>
    <w:rsid w:val="00892763"/>
    <w:rsid w:val="0089278D"/>
    <w:rsid w:val="008928CC"/>
    <w:rsid w:val="00893114"/>
    <w:rsid w:val="00894C7A"/>
    <w:rsid w:val="00896111"/>
    <w:rsid w:val="00896585"/>
    <w:rsid w:val="00896D53"/>
    <w:rsid w:val="00897443"/>
    <w:rsid w:val="008A061B"/>
    <w:rsid w:val="008A0CD0"/>
    <w:rsid w:val="008A126D"/>
    <w:rsid w:val="008A187E"/>
    <w:rsid w:val="008A1B5F"/>
    <w:rsid w:val="008A1EF2"/>
    <w:rsid w:val="008A30F3"/>
    <w:rsid w:val="008A3F31"/>
    <w:rsid w:val="008A5260"/>
    <w:rsid w:val="008A5781"/>
    <w:rsid w:val="008A734E"/>
    <w:rsid w:val="008A7584"/>
    <w:rsid w:val="008B19FE"/>
    <w:rsid w:val="008B349C"/>
    <w:rsid w:val="008B3AAC"/>
    <w:rsid w:val="008B3BD6"/>
    <w:rsid w:val="008B4A80"/>
    <w:rsid w:val="008B4C63"/>
    <w:rsid w:val="008B4FEF"/>
    <w:rsid w:val="008B50FC"/>
    <w:rsid w:val="008B63E1"/>
    <w:rsid w:val="008B66FC"/>
    <w:rsid w:val="008B6D3D"/>
    <w:rsid w:val="008B72E6"/>
    <w:rsid w:val="008C058D"/>
    <w:rsid w:val="008C0C1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1E3"/>
    <w:rsid w:val="008D15B8"/>
    <w:rsid w:val="008D255E"/>
    <w:rsid w:val="008D2739"/>
    <w:rsid w:val="008D3B3B"/>
    <w:rsid w:val="008D43BE"/>
    <w:rsid w:val="008D48C8"/>
    <w:rsid w:val="008D49A8"/>
    <w:rsid w:val="008D4F74"/>
    <w:rsid w:val="008D6184"/>
    <w:rsid w:val="008D6453"/>
    <w:rsid w:val="008D70F5"/>
    <w:rsid w:val="008E0261"/>
    <w:rsid w:val="008E04ED"/>
    <w:rsid w:val="008E29FE"/>
    <w:rsid w:val="008E3191"/>
    <w:rsid w:val="008E3ED6"/>
    <w:rsid w:val="008E4176"/>
    <w:rsid w:val="008E470A"/>
    <w:rsid w:val="008E4AA6"/>
    <w:rsid w:val="008E4D4E"/>
    <w:rsid w:val="008E515B"/>
    <w:rsid w:val="008E520B"/>
    <w:rsid w:val="008F0D88"/>
    <w:rsid w:val="008F0DE2"/>
    <w:rsid w:val="008F0E49"/>
    <w:rsid w:val="008F0FA6"/>
    <w:rsid w:val="008F20CE"/>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8B5"/>
    <w:rsid w:val="0090790E"/>
    <w:rsid w:val="00907F2C"/>
    <w:rsid w:val="009117A1"/>
    <w:rsid w:val="00911AC7"/>
    <w:rsid w:val="00912597"/>
    <w:rsid w:val="00912608"/>
    <w:rsid w:val="0091311D"/>
    <w:rsid w:val="0091315F"/>
    <w:rsid w:val="0091350C"/>
    <w:rsid w:val="00913CA6"/>
    <w:rsid w:val="009147C0"/>
    <w:rsid w:val="00914A9B"/>
    <w:rsid w:val="00915EFD"/>
    <w:rsid w:val="00916372"/>
    <w:rsid w:val="009174D3"/>
    <w:rsid w:val="0091761F"/>
    <w:rsid w:val="00917C65"/>
    <w:rsid w:val="0092045E"/>
    <w:rsid w:val="00920CB1"/>
    <w:rsid w:val="00921FB5"/>
    <w:rsid w:val="009220DE"/>
    <w:rsid w:val="00923455"/>
    <w:rsid w:val="00924116"/>
    <w:rsid w:val="00924D5A"/>
    <w:rsid w:val="00924FE6"/>
    <w:rsid w:val="00925516"/>
    <w:rsid w:val="00925ABB"/>
    <w:rsid w:val="0092663D"/>
    <w:rsid w:val="0092681A"/>
    <w:rsid w:val="009271D8"/>
    <w:rsid w:val="0092774B"/>
    <w:rsid w:val="0093005E"/>
    <w:rsid w:val="009303E9"/>
    <w:rsid w:val="00931B47"/>
    <w:rsid w:val="0093225F"/>
    <w:rsid w:val="00932465"/>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C42"/>
    <w:rsid w:val="00950E91"/>
    <w:rsid w:val="00950F9B"/>
    <w:rsid w:val="0095144A"/>
    <w:rsid w:val="00951723"/>
    <w:rsid w:val="0095282D"/>
    <w:rsid w:val="00952D27"/>
    <w:rsid w:val="00952DEE"/>
    <w:rsid w:val="0095436A"/>
    <w:rsid w:val="00954A6F"/>
    <w:rsid w:val="00956C91"/>
    <w:rsid w:val="00960E32"/>
    <w:rsid w:val="00962B18"/>
    <w:rsid w:val="00962F55"/>
    <w:rsid w:val="009630B1"/>
    <w:rsid w:val="009634F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2A0"/>
    <w:rsid w:val="00987364"/>
    <w:rsid w:val="00987918"/>
    <w:rsid w:val="00990552"/>
    <w:rsid w:val="0099056E"/>
    <w:rsid w:val="0099085F"/>
    <w:rsid w:val="0099113B"/>
    <w:rsid w:val="009914AA"/>
    <w:rsid w:val="00991E6C"/>
    <w:rsid w:val="00991F02"/>
    <w:rsid w:val="00993339"/>
    <w:rsid w:val="009936E7"/>
    <w:rsid w:val="00993BE2"/>
    <w:rsid w:val="00994220"/>
    <w:rsid w:val="00994BC6"/>
    <w:rsid w:val="00994D0C"/>
    <w:rsid w:val="00995484"/>
    <w:rsid w:val="009969A5"/>
    <w:rsid w:val="00997703"/>
    <w:rsid w:val="009A020E"/>
    <w:rsid w:val="009A0B9D"/>
    <w:rsid w:val="009A11B8"/>
    <w:rsid w:val="009A22C1"/>
    <w:rsid w:val="009A2B46"/>
    <w:rsid w:val="009A3433"/>
    <w:rsid w:val="009A3E26"/>
    <w:rsid w:val="009A4388"/>
    <w:rsid w:val="009A455E"/>
    <w:rsid w:val="009A49C6"/>
    <w:rsid w:val="009A50D1"/>
    <w:rsid w:val="009A5907"/>
    <w:rsid w:val="009A7BD7"/>
    <w:rsid w:val="009B0655"/>
    <w:rsid w:val="009B1212"/>
    <w:rsid w:val="009B1999"/>
    <w:rsid w:val="009B1E72"/>
    <w:rsid w:val="009B2263"/>
    <w:rsid w:val="009B29D7"/>
    <w:rsid w:val="009B2E34"/>
    <w:rsid w:val="009B356A"/>
    <w:rsid w:val="009B3BE1"/>
    <w:rsid w:val="009B53C8"/>
    <w:rsid w:val="009B5C7F"/>
    <w:rsid w:val="009B7A58"/>
    <w:rsid w:val="009B7B34"/>
    <w:rsid w:val="009B7B3C"/>
    <w:rsid w:val="009C074B"/>
    <w:rsid w:val="009C1091"/>
    <w:rsid w:val="009C1A7D"/>
    <w:rsid w:val="009C24FD"/>
    <w:rsid w:val="009C29A6"/>
    <w:rsid w:val="009C30EE"/>
    <w:rsid w:val="009C457A"/>
    <w:rsid w:val="009C510E"/>
    <w:rsid w:val="009C527E"/>
    <w:rsid w:val="009C534A"/>
    <w:rsid w:val="009C5A62"/>
    <w:rsid w:val="009C5AE9"/>
    <w:rsid w:val="009C5E61"/>
    <w:rsid w:val="009C6C70"/>
    <w:rsid w:val="009C73F8"/>
    <w:rsid w:val="009C7BBC"/>
    <w:rsid w:val="009C7D7E"/>
    <w:rsid w:val="009D103B"/>
    <w:rsid w:val="009D12FB"/>
    <w:rsid w:val="009D1386"/>
    <w:rsid w:val="009D22EE"/>
    <w:rsid w:val="009D22EF"/>
    <w:rsid w:val="009D3D38"/>
    <w:rsid w:val="009D646C"/>
    <w:rsid w:val="009D6484"/>
    <w:rsid w:val="009D65E4"/>
    <w:rsid w:val="009D7A6D"/>
    <w:rsid w:val="009E07D9"/>
    <w:rsid w:val="009E24E1"/>
    <w:rsid w:val="009E43AD"/>
    <w:rsid w:val="009E5CE6"/>
    <w:rsid w:val="009E65BA"/>
    <w:rsid w:val="009F1132"/>
    <w:rsid w:val="009F235E"/>
    <w:rsid w:val="009F2B9A"/>
    <w:rsid w:val="009F2C08"/>
    <w:rsid w:val="009F326E"/>
    <w:rsid w:val="009F3B94"/>
    <w:rsid w:val="009F3E70"/>
    <w:rsid w:val="009F461B"/>
    <w:rsid w:val="009F4C8F"/>
    <w:rsid w:val="009F5A7A"/>
    <w:rsid w:val="009F5E3F"/>
    <w:rsid w:val="009F638D"/>
    <w:rsid w:val="009F7692"/>
    <w:rsid w:val="00A00553"/>
    <w:rsid w:val="00A00B5B"/>
    <w:rsid w:val="00A0240B"/>
    <w:rsid w:val="00A03036"/>
    <w:rsid w:val="00A0335A"/>
    <w:rsid w:val="00A036FC"/>
    <w:rsid w:val="00A04095"/>
    <w:rsid w:val="00A042C6"/>
    <w:rsid w:val="00A06375"/>
    <w:rsid w:val="00A0663E"/>
    <w:rsid w:val="00A06655"/>
    <w:rsid w:val="00A06C9E"/>
    <w:rsid w:val="00A07395"/>
    <w:rsid w:val="00A10023"/>
    <w:rsid w:val="00A1098F"/>
    <w:rsid w:val="00A11849"/>
    <w:rsid w:val="00A122B7"/>
    <w:rsid w:val="00A122BC"/>
    <w:rsid w:val="00A12420"/>
    <w:rsid w:val="00A141BC"/>
    <w:rsid w:val="00A146D5"/>
    <w:rsid w:val="00A1500F"/>
    <w:rsid w:val="00A22B4D"/>
    <w:rsid w:val="00A231D3"/>
    <w:rsid w:val="00A23787"/>
    <w:rsid w:val="00A23C4F"/>
    <w:rsid w:val="00A25474"/>
    <w:rsid w:val="00A25816"/>
    <w:rsid w:val="00A25F08"/>
    <w:rsid w:val="00A263B9"/>
    <w:rsid w:val="00A26446"/>
    <w:rsid w:val="00A2710F"/>
    <w:rsid w:val="00A30144"/>
    <w:rsid w:val="00A3164B"/>
    <w:rsid w:val="00A316E5"/>
    <w:rsid w:val="00A3189A"/>
    <w:rsid w:val="00A31A3F"/>
    <w:rsid w:val="00A3207A"/>
    <w:rsid w:val="00A320FD"/>
    <w:rsid w:val="00A32A18"/>
    <w:rsid w:val="00A34030"/>
    <w:rsid w:val="00A343FD"/>
    <w:rsid w:val="00A347B4"/>
    <w:rsid w:val="00A3574B"/>
    <w:rsid w:val="00A37271"/>
    <w:rsid w:val="00A3747C"/>
    <w:rsid w:val="00A377F0"/>
    <w:rsid w:val="00A37E3D"/>
    <w:rsid w:val="00A40373"/>
    <w:rsid w:val="00A40CA3"/>
    <w:rsid w:val="00A40EA8"/>
    <w:rsid w:val="00A41678"/>
    <w:rsid w:val="00A4183B"/>
    <w:rsid w:val="00A42C7A"/>
    <w:rsid w:val="00A440BE"/>
    <w:rsid w:val="00A44A31"/>
    <w:rsid w:val="00A44F79"/>
    <w:rsid w:val="00A452E3"/>
    <w:rsid w:val="00A4696E"/>
    <w:rsid w:val="00A46981"/>
    <w:rsid w:val="00A46B9A"/>
    <w:rsid w:val="00A4736C"/>
    <w:rsid w:val="00A479A6"/>
    <w:rsid w:val="00A47A72"/>
    <w:rsid w:val="00A47F69"/>
    <w:rsid w:val="00A5046E"/>
    <w:rsid w:val="00A507E3"/>
    <w:rsid w:val="00A50F71"/>
    <w:rsid w:val="00A517D7"/>
    <w:rsid w:val="00A51C41"/>
    <w:rsid w:val="00A52898"/>
    <w:rsid w:val="00A55BB1"/>
    <w:rsid w:val="00A563CB"/>
    <w:rsid w:val="00A56B25"/>
    <w:rsid w:val="00A57253"/>
    <w:rsid w:val="00A57374"/>
    <w:rsid w:val="00A574CA"/>
    <w:rsid w:val="00A578BC"/>
    <w:rsid w:val="00A5797F"/>
    <w:rsid w:val="00A61666"/>
    <w:rsid w:val="00A61DED"/>
    <w:rsid w:val="00A62653"/>
    <w:rsid w:val="00A638F2"/>
    <w:rsid w:val="00A639D9"/>
    <w:rsid w:val="00A642EC"/>
    <w:rsid w:val="00A65A70"/>
    <w:rsid w:val="00A67138"/>
    <w:rsid w:val="00A6724B"/>
    <w:rsid w:val="00A6758E"/>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F88"/>
    <w:rsid w:val="00A8126F"/>
    <w:rsid w:val="00A81714"/>
    <w:rsid w:val="00A8198B"/>
    <w:rsid w:val="00A81ED7"/>
    <w:rsid w:val="00A81F9D"/>
    <w:rsid w:val="00A82414"/>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59D"/>
    <w:rsid w:val="00A91743"/>
    <w:rsid w:val="00A92CE8"/>
    <w:rsid w:val="00A92DEF"/>
    <w:rsid w:val="00A93027"/>
    <w:rsid w:val="00A9364C"/>
    <w:rsid w:val="00A95165"/>
    <w:rsid w:val="00A967FB"/>
    <w:rsid w:val="00A96DE7"/>
    <w:rsid w:val="00A9743D"/>
    <w:rsid w:val="00A97463"/>
    <w:rsid w:val="00A974D8"/>
    <w:rsid w:val="00AA007B"/>
    <w:rsid w:val="00AA017B"/>
    <w:rsid w:val="00AA07F5"/>
    <w:rsid w:val="00AA1690"/>
    <w:rsid w:val="00AA191B"/>
    <w:rsid w:val="00AA1BCE"/>
    <w:rsid w:val="00AA1DAB"/>
    <w:rsid w:val="00AA2371"/>
    <w:rsid w:val="00AA312A"/>
    <w:rsid w:val="00AA3C65"/>
    <w:rsid w:val="00AA3CF5"/>
    <w:rsid w:val="00AA4AB7"/>
    <w:rsid w:val="00AA530D"/>
    <w:rsid w:val="00AA563C"/>
    <w:rsid w:val="00AA5879"/>
    <w:rsid w:val="00AA5AD9"/>
    <w:rsid w:val="00AA65B2"/>
    <w:rsid w:val="00AA66EF"/>
    <w:rsid w:val="00AA6D12"/>
    <w:rsid w:val="00AA7773"/>
    <w:rsid w:val="00AA7CF7"/>
    <w:rsid w:val="00AB0860"/>
    <w:rsid w:val="00AB11E6"/>
    <w:rsid w:val="00AB1626"/>
    <w:rsid w:val="00AB1FBF"/>
    <w:rsid w:val="00AB21F4"/>
    <w:rsid w:val="00AB22CA"/>
    <w:rsid w:val="00AB3821"/>
    <w:rsid w:val="00AB433F"/>
    <w:rsid w:val="00AB4547"/>
    <w:rsid w:val="00AB472C"/>
    <w:rsid w:val="00AB4F94"/>
    <w:rsid w:val="00AB4F98"/>
    <w:rsid w:val="00AB57BD"/>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4FD4"/>
    <w:rsid w:val="00AF58C1"/>
    <w:rsid w:val="00AF58E6"/>
    <w:rsid w:val="00AF5E16"/>
    <w:rsid w:val="00AF6139"/>
    <w:rsid w:val="00AF7817"/>
    <w:rsid w:val="00AF7C2E"/>
    <w:rsid w:val="00B002A4"/>
    <w:rsid w:val="00B003D1"/>
    <w:rsid w:val="00B0105F"/>
    <w:rsid w:val="00B024A7"/>
    <w:rsid w:val="00B045F0"/>
    <w:rsid w:val="00B04DAA"/>
    <w:rsid w:val="00B0505B"/>
    <w:rsid w:val="00B06457"/>
    <w:rsid w:val="00B10317"/>
    <w:rsid w:val="00B107E6"/>
    <w:rsid w:val="00B10879"/>
    <w:rsid w:val="00B1102B"/>
    <w:rsid w:val="00B11CC5"/>
    <w:rsid w:val="00B131E1"/>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CF0"/>
    <w:rsid w:val="00B305E3"/>
    <w:rsid w:val="00B31C14"/>
    <w:rsid w:val="00B32710"/>
    <w:rsid w:val="00B33438"/>
    <w:rsid w:val="00B33C17"/>
    <w:rsid w:val="00B3523C"/>
    <w:rsid w:val="00B357E7"/>
    <w:rsid w:val="00B3772A"/>
    <w:rsid w:val="00B37841"/>
    <w:rsid w:val="00B37A19"/>
    <w:rsid w:val="00B37FE5"/>
    <w:rsid w:val="00B40EDC"/>
    <w:rsid w:val="00B417FA"/>
    <w:rsid w:val="00B434B6"/>
    <w:rsid w:val="00B44398"/>
    <w:rsid w:val="00B452EE"/>
    <w:rsid w:val="00B45D80"/>
    <w:rsid w:val="00B466E1"/>
    <w:rsid w:val="00B468E7"/>
    <w:rsid w:val="00B46A58"/>
    <w:rsid w:val="00B47A6A"/>
    <w:rsid w:val="00B5082F"/>
    <w:rsid w:val="00B50A84"/>
    <w:rsid w:val="00B51644"/>
    <w:rsid w:val="00B542E3"/>
    <w:rsid w:val="00B54371"/>
    <w:rsid w:val="00B54AAC"/>
    <w:rsid w:val="00B54B60"/>
    <w:rsid w:val="00B55D01"/>
    <w:rsid w:val="00B5677A"/>
    <w:rsid w:val="00B56D3B"/>
    <w:rsid w:val="00B61109"/>
    <w:rsid w:val="00B61BB8"/>
    <w:rsid w:val="00B63143"/>
    <w:rsid w:val="00B631AB"/>
    <w:rsid w:val="00B637EC"/>
    <w:rsid w:val="00B65385"/>
    <w:rsid w:val="00B65DF5"/>
    <w:rsid w:val="00B65E33"/>
    <w:rsid w:val="00B65F6C"/>
    <w:rsid w:val="00B67BE1"/>
    <w:rsid w:val="00B71244"/>
    <w:rsid w:val="00B72196"/>
    <w:rsid w:val="00B72E6A"/>
    <w:rsid w:val="00B73986"/>
    <w:rsid w:val="00B740DF"/>
    <w:rsid w:val="00B74212"/>
    <w:rsid w:val="00B74724"/>
    <w:rsid w:val="00B74836"/>
    <w:rsid w:val="00B7504E"/>
    <w:rsid w:val="00B75A2C"/>
    <w:rsid w:val="00B75D39"/>
    <w:rsid w:val="00B75E67"/>
    <w:rsid w:val="00B770BA"/>
    <w:rsid w:val="00B7723F"/>
    <w:rsid w:val="00B77247"/>
    <w:rsid w:val="00B80511"/>
    <w:rsid w:val="00B8061D"/>
    <w:rsid w:val="00B810E1"/>
    <w:rsid w:val="00B814DD"/>
    <w:rsid w:val="00B81E17"/>
    <w:rsid w:val="00B8242D"/>
    <w:rsid w:val="00B827D9"/>
    <w:rsid w:val="00B82E5A"/>
    <w:rsid w:val="00B84233"/>
    <w:rsid w:val="00B84546"/>
    <w:rsid w:val="00B8471F"/>
    <w:rsid w:val="00B85183"/>
    <w:rsid w:val="00B85960"/>
    <w:rsid w:val="00B8600C"/>
    <w:rsid w:val="00B8625C"/>
    <w:rsid w:val="00B86D60"/>
    <w:rsid w:val="00B87391"/>
    <w:rsid w:val="00B87E2C"/>
    <w:rsid w:val="00B9013C"/>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7CE9"/>
    <w:rsid w:val="00BB0124"/>
    <w:rsid w:val="00BB03EA"/>
    <w:rsid w:val="00BB04CF"/>
    <w:rsid w:val="00BB0963"/>
    <w:rsid w:val="00BB16EF"/>
    <w:rsid w:val="00BB242A"/>
    <w:rsid w:val="00BB35F3"/>
    <w:rsid w:val="00BB36CE"/>
    <w:rsid w:val="00BB4CD5"/>
    <w:rsid w:val="00BB5FAB"/>
    <w:rsid w:val="00BC0631"/>
    <w:rsid w:val="00BC1CE8"/>
    <w:rsid w:val="00BC21E4"/>
    <w:rsid w:val="00BC2F5F"/>
    <w:rsid w:val="00BC4568"/>
    <w:rsid w:val="00BC4EC4"/>
    <w:rsid w:val="00BC5E76"/>
    <w:rsid w:val="00BC6461"/>
    <w:rsid w:val="00BC6A7F"/>
    <w:rsid w:val="00BC6B7E"/>
    <w:rsid w:val="00BC7069"/>
    <w:rsid w:val="00BD04AB"/>
    <w:rsid w:val="00BD09B7"/>
    <w:rsid w:val="00BD1A64"/>
    <w:rsid w:val="00BD1BF0"/>
    <w:rsid w:val="00BD1DB9"/>
    <w:rsid w:val="00BD3607"/>
    <w:rsid w:val="00BD39ED"/>
    <w:rsid w:val="00BD3D13"/>
    <w:rsid w:val="00BD489F"/>
    <w:rsid w:val="00BD4C7A"/>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41F9"/>
    <w:rsid w:val="00BE50EB"/>
    <w:rsid w:val="00BE529A"/>
    <w:rsid w:val="00BE52CE"/>
    <w:rsid w:val="00BE5BE4"/>
    <w:rsid w:val="00BE5C37"/>
    <w:rsid w:val="00BE5CF6"/>
    <w:rsid w:val="00BE5D56"/>
    <w:rsid w:val="00BE74B6"/>
    <w:rsid w:val="00BE7552"/>
    <w:rsid w:val="00BF0F2E"/>
    <w:rsid w:val="00BF1767"/>
    <w:rsid w:val="00BF18AD"/>
    <w:rsid w:val="00BF2C0C"/>
    <w:rsid w:val="00BF2D58"/>
    <w:rsid w:val="00BF2E48"/>
    <w:rsid w:val="00BF3FB2"/>
    <w:rsid w:val="00BF4026"/>
    <w:rsid w:val="00BF4473"/>
    <w:rsid w:val="00BF44A0"/>
    <w:rsid w:val="00BF46F2"/>
    <w:rsid w:val="00BF4B38"/>
    <w:rsid w:val="00BF4D62"/>
    <w:rsid w:val="00BF4D9E"/>
    <w:rsid w:val="00BF579A"/>
    <w:rsid w:val="00BF7007"/>
    <w:rsid w:val="00BF72F7"/>
    <w:rsid w:val="00BF746F"/>
    <w:rsid w:val="00BF77D5"/>
    <w:rsid w:val="00BF7FDA"/>
    <w:rsid w:val="00C00789"/>
    <w:rsid w:val="00C00D42"/>
    <w:rsid w:val="00C01A7E"/>
    <w:rsid w:val="00C02390"/>
    <w:rsid w:val="00C037C0"/>
    <w:rsid w:val="00C03FE9"/>
    <w:rsid w:val="00C05568"/>
    <w:rsid w:val="00C06BB2"/>
    <w:rsid w:val="00C06BEF"/>
    <w:rsid w:val="00C07A6E"/>
    <w:rsid w:val="00C07D54"/>
    <w:rsid w:val="00C11F3B"/>
    <w:rsid w:val="00C12880"/>
    <w:rsid w:val="00C12A09"/>
    <w:rsid w:val="00C12E14"/>
    <w:rsid w:val="00C13C1E"/>
    <w:rsid w:val="00C14465"/>
    <w:rsid w:val="00C1455F"/>
    <w:rsid w:val="00C14AC6"/>
    <w:rsid w:val="00C14D42"/>
    <w:rsid w:val="00C15216"/>
    <w:rsid w:val="00C1644B"/>
    <w:rsid w:val="00C16791"/>
    <w:rsid w:val="00C170C5"/>
    <w:rsid w:val="00C1756D"/>
    <w:rsid w:val="00C1759D"/>
    <w:rsid w:val="00C17C23"/>
    <w:rsid w:val="00C202B9"/>
    <w:rsid w:val="00C20410"/>
    <w:rsid w:val="00C204B5"/>
    <w:rsid w:val="00C211CC"/>
    <w:rsid w:val="00C215AF"/>
    <w:rsid w:val="00C21BE1"/>
    <w:rsid w:val="00C2266D"/>
    <w:rsid w:val="00C22ABC"/>
    <w:rsid w:val="00C241AA"/>
    <w:rsid w:val="00C24C0C"/>
    <w:rsid w:val="00C26D99"/>
    <w:rsid w:val="00C2763D"/>
    <w:rsid w:val="00C32A1E"/>
    <w:rsid w:val="00C33C04"/>
    <w:rsid w:val="00C34215"/>
    <w:rsid w:val="00C34C32"/>
    <w:rsid w:val="00C355E9"/>
    <w:rsid w:val="00C3593C"/>
    <w:rsid w:val="00C3675A"/>
    <w:rsid w:val="00C37823"/>
    <w:rsid w:val="00C405F8"/>
    <w:rsid w:val="00C409BA"/>
    <w:rsid w:val="00C41461"/>
    <w:rsid w:val="00C41C4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73D"/>
    <w:rsid w:val="00C53265"/>
    <w:rsid w:val="00C53295"/>
    <w:rsid w:val="00C5539C"/>
    <w:rsid w:val="00C560B2"/>
    <w:rsid w:val="00C568A1"/>
    <w:rsid w:val="00C56CE0"/>
    <w:rsid w:val="00C5709F"/>
    <w:rsid w:val="00C57311"/>
    <w:rsid w:val="00C60E47"/>
    <w:rsid w:val="00C61028"/>
    <w:rsid w:val="00C61714"/>
    <w:rsid w:val="00C619DA"/>
    <w:rsid w:val="00C62C2A"/>
    <w:rsid w:val="00C648F4"/>
    <w:rsid w:val="00C66AF3"/>
    <w:rsid w:val="00C66BD3"/>
    <w:rsid w:val="00C71682"/>
    <w:rsid w:val="00C71A9D"/>
    <w:rsid w:val="00C71F64"/>
    <w:rsid w:val="00C74527"/>
    <w:rsid w:val="00C751FE"/>
    <w:rsid w:val="00C77204"/>
    <w:rsid w:val="00C779A8"/>
    <w:rsid w:val="00C80078"/>
    <w:rsid w:val="00C811DD"/>
    <w:rsid w:val="00C81B8C"/>
    <w:rsid w:val="00C8242E"/>
    <w:rsid w:val="00C83712"/>
    <w:rsid w:val="00C83750"/>
    <w:rsid w:val="00C84075"/>
    <w:rsid w:val="00C846B8"/>
    <w:rsid w:val="00C86C08"/>
    <w:rsid w:val="00C86F2D"/>
    <w:rsid w:val="00C873C1"/>
    <w:rsid w:val="00C87668"/>
    <w:rsid w:val="00C87EEA"/>
    <w:rsid w:val="00C910A4"/>
    <w:rsid w:val="00C9385D"/>
    <w:rsid w:val="00C9392E"/>
    <w:rsid w:val="00C93EF0"/>
    <w:rsid w:val="00C940E1"/>
    <w:rsid w:val="00C94604"/>
    <w:rsid w:val="00C94737"/>
    <w:rsid w:val="00C9510B"/>
    <w:rsid w:val="00C95D77"/>
    <w:rsid w:val="00C96104"/>
    <w:rsid w:val="00C96FC7"/>
    <w:rsid w:val="00C974B4"/>
    <w:rsid w:val="00C97892"/>
    <w:rsid w:val="00C97A67"/>
    <w:rsid w:val="00C97C6C"/>
    <w:rsid w:val="00CA02DA"/>
    <w:rsid w:val="00CA0772"/>
    <w:rsid w:val="00CA0DBB"/>
    <w:rsid w:val="00CA13D5"/>
    <w:rsid w:val="00CA168A"/>
    <w:rsid w:val="00CA1720"/>
    <w:rsid w:val="00CA1BDD"/>
    <w:rsid w:val="00CA42D2"/>
    <w:rsid w:val="00CA4E96"/>
    <w:rsid w:val="00CA57A0"/>
    <w:rsid w:val="00CA5930"/>
    <w:rsid w:val="00CA5DC6"/>
    <w:rsid w:val="00CA6997"/>
    <w:rsid w:val="00CB17B2"/>
    <w:rsid w:val="00CB34BE"/>
    <w:rsid w:val="00CB3682"/>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E0CCD"/>
    <w:rsid w:val="00CE1A08"/>
    <w:rsid w:val="00CE1C0F"/>
    <w:rsid w:val="00CE333E"/>
    <w:rsid w:val="00CE3DAA"/>
    <w:rsid w:val="00CE4729"/>
    <w:rsid w:val="00CE5195"/>
    <w:rsid w:val="00CE56D1"/>
    <w:rsid w:val="00CE5C9C"/>
    <w:rsid w:val="00CE603A"/>
    <w:rsid w:val="00CE657A"/>
    <w:rsid w:val="00CE6AB1"/>
    <w:rsid w:val="00CE704F"/>
    <w:rsid w:val="00CF10AF"/>
    <w:rsid w:val="00CF1222"/>
    <w:rsid w:val="00CF1541"/>
    <w:rsid w:val="00CF27C9"/>
    <w:rsid w:val="00CF4447"/>
    <w:rsid w:val="00CF466D"/>
    <w:rsid w:val="00CF4BB0"/>
    <w:rsid w:val="00CF5798"/>
    <w:rsid w:val="00CF5B13"/>
    <w:rsid w:val="00CF6281"/>
    <w:rsid w:val="00CF7003"/>
    <w:rsid w:val="00CF747E"/>
    <w:rsid w:val="00CF7B2F"/>
    <w:rsid w:val="00CF7E24"/>
    <w:rsid w:val="00D00237"/>
    <w:rsid w:val="00D00601"/>
    <w:rsid w:val="00D019FA"/>
    <w:rsid w:val="00D02E1F"/>
    <w:rsid w:val="00D04DA2"/>
    <w:rsid w:val="00D05652"/>
    <w:rsid w:val="00D05C64"/>
    <w:rsid w:val="00D06457"/>
    <w:rsid w:val="00D0773D"/>
    <w:rsid w:val="00D07BD9"/>
    <w:rsid w:val="00D101C3"/>
    <w:rsid w:val="00D1172D"/>
    <w:rsid w:val="00D11AD1"/>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2748"/>
    <w:rsid w:val="00D22AE9"/>
    <w:rsid w:val="00D22B10"/>
    <w:rsid w:val="00D230CB"/>
    <w:rsid w:val="00D23391"/>
    <w:rsid w:val="00D23898"/>
    <w:rsid w:val="00D24BE5"/>
    <w:rsid w:val="00D25BC3"/>
    <w:rsid w:val="00D25C2A"/>
    <w:rsid w:val="00D25CCE"/>
    <w:rsid w:val="00D26779"/>
    <w:rsid w:val="00D268F4"/>
    <w:rsid w:val="00D277CD"/>
    <w:rsid w:val="00D2792E"/>
    <w:rsid w:val="00D27D50"/>
    <w:rsid w:val="00D27F4C"/>
    <w:rsid w:val="00D300B2"/>
    <w:rsid w:val="00D301EA"/>
    <w:rsid w:val="00D31FBE"/>
    <w:rsid w:val="00D34337"/>
    <w:rsid w:val="00D345C5"/>
    <w:rsid w:val="00D345FF"/>
    <w:rsid w:val="00D35DEE"/>
    <w:rsid w:val="00D36198"/>
    <w:rsid w:val="00D36D9D"/>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8B3"/>
    <w:rsid w:val="00D50997"/>
    <w:rsid w:val="00D517C1"/>
    <w:rsid w:val="00D51FE0"/>
    <w:rsid w:val="00D52660"/>
    <w:rsid w:val="00D54231"/>
    <w:rsid w:val="00D54F6F"/>
    <w:rsid w:val="00D558C5"/>
    <w:rsid w:val="00D55A50"/>
    <w:rsid w:val="00D55A52"/>
    <w:rsid w:val="00D55A8D"/>
    <w:rsid w:val="00D55B8C"/>
    <w:rsid w:val="00D5643E"/>
    <w:rsid w:val="00D56749"/>
    <w:rsid w:val="00D56A4C"/>
    <w:rsid w:val="00D601E6"/>
    <w:rsid w:val="00D60200"/>
    <w:rsid w:val="00D60E64"/>
    <w:rsid w:val="00D610C2"/>
    <w:rsid w:val="00D61AF3"/>
    <w:rsid w:val="00D61B57"/>
    <w:rsid w:val="00D61E34"/>
    <w:rsid w:val="00D62157"/>
    <w:rsid w:val="00D622EB"/>
    <w:rsid w:val="00D629A0"/>
    <w:rsid w:val="00D62C67"/>
    <w:rsid w:val="00D6393B"/>
    <w:rsid w:val="00D65209"/>
    <w:rsid w:val="00D658E8"/>
    <w:rsid w:val="00D65B24"/>
    <w:rsid w:val="00D66130"/>
    <w:rsid w:val="00D66216"/>
    <w:rsid w:val="00D6648B"/>
    <w:rsid w:val="00D66E53"/>
    <w:rsid w:val="00D67B3C"/>
    <w:rsid w:val="00D67E54"/>
    <w:rsid w:val="00D7140A"/>
    <w:rsid w:val="00D72BE5"/>
    <w:rsid w:val="00D73B84"/>
    <w:rsid w:val="00D74037"/>
    <w:rsid w:val="00D740E9"/>
    <w:rsid w:val="00D74200"/>
    <w:rsid w:val="00D75442"/>
    <w:rsid w:val="00D765A4"/>
    <w:rsid w:val="00D77041"/>
    <w:rsid w:val="00D774C0"/>
    <w:rsid w:val="00D775DF"/>
    <w:rsid w:val="00D77F61"/>
    <w:rsid w:val="00D77FB7"/>
    <w:rsid w:val="00D80C85"/>
    <w:rsid w:val="00D80FA7"/>
    <w:rsid w:val="00D81894"/>
    <w:rsid w:val="00D81AE0"/>
    <w:rsid w:val="00D81D9A"/>
    <w:rsid w:val="00D826C8"/>
    <w:rsid w:val="00D83192"/>
    <w:rsid w:val="00D8355D"/>
    <w:rsid w:val="00D83A3D"/>
    <w:rsid w:val="00D848A6"/>
    <w:rsid w:val="00D8502A"/>
    <w:rsid w:val="00D8591F"/>
    <w:rsid w:val="00D85922"/>
    <w:rsid w:val="00D863D8"/>
    <w:rsid w:val="00D86C28"/>
    <w:rsid w:val="00D870FD"/>
    <w:rsid w:val="00D872E3"/>
    <w:rsid w:val="00D90437"/>
    <w:rsid w:val="00D90544"/>
    <w:rsid w:val="00D908DB"/>
    <w:rsid w:val="00D91635"/>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36"/>
    <w:rsid w:val="00DA273B"/>
    <w:rsid w:val="00DA342F"/>
    <w:rsid w:val="00DA7303"/>
    <w:rsid w:val="00DA7E2B"/>
    <w:rsid w:val="00DB0312"/>
    <w:rsid w:val="00DB0882"/>
    <w:rsid w:val="00DB0E74"/>
    <w:rsid w:val="00DB1728"/>
    <w:rsid w:val="00DB2D2D"/>
    <w:rsid w:val="00DB305F"/>
    <w:rsid w:val="00DB35CC"/>
    <w:rsid w:val="00DB3FCA"/>
    <w:rsid w:val="00DB4E6B"/>
    <w:rsid w:val="00DB5073"/>
    <w:rsid w:val="00DB5466"/>
    <w:rsid w:val="00DB5CB2"/>
    <w:rsid w:val="00DB5E73"/>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628D"/>
    <w:rsid w:val="00DC64DE"/>
    <w:rsid w:val="00DC7006"/>
    <w:rsid w:val="00DC719B"/>
    <w:rsid w:val="00DC767A"/>
    <w:rsid w:val="00DC7E08"/>
    <w:rsid w:val="00DD01EA"/>
    <w:rsid w:val="00DD04D4"/>
    <w:rsid w:val="00DD08EB"/>
    <w:rsid w:val="00DD1DE6"/>
    <w:rsid w:val="00DD22CB"/>
    <w:rsid w:val="00DD389E"/>
    <w:rsid w:val="00DD3E8E"/>
    <w:rsid w:val="00DD3FB1"/>
    <w:rsid w:val="00DD443B"/>
    <w:rsid w:val="00DD44F8"/>
    <w:rsid w:val="00DD46B5"/>
    <w:rsid w:val="00DD4C6A"/>
    <w:rsid w:val="00DD4CD7"/>
    <w:rsid w:val="00DD65D9"/>
    <w:rsid w:val="00DD6F12"/>
    <w:rsid w:val="00DE1030"/>
    <w:rsid w:val="00DE2D53"/>
    <w:rsid w:val="00DE343D"/>
    <w:rsid w:val="00DE3CEE"/>
    <w:rsid w:val="00DE47A4"/>
    <w:rsid w:val="00DE4C55"/>
    <w:rsid w:val="00DE573E"/>
    <w:rsid w:val="00DE7016"/>
    <w:rsid w:val="00DE755C"/>
    <w:rsid w:val="00DF10AD"/>
    <w:rsid w:val="00DF136D"/>
    <w:rsid w:val="00DF1480"/>
    <w:rsid w:val="00DF2561"/>
    <w:rsid w:val="00DF2C25"/>
    <w:rsid w:val="00DF3385"/>
    <w:rsid w:val="00DF3CFF"/>
    <w:rsid w:val="00DF46AC"/>
    <w:rsid w:val="00DF53B3"/>
    <w:rsid w:val="00DF5673"/>
    <w:rsid w:val="00DF56D7"/>
    <w:rsid w:val="00DF6537"/>
    <w:rsid w:val="00DF6774"/>
    <w:rsid w:val="00DF75BA"/>
    <w:rsid w:val="00DF7EA3"/>
    <w:rsid w:val="00E00129"/>
    <w:rsid w:val="00E0039D"/>
    <w:rsid w:val="00E0189A"/>
    <w:rsid w:val="00E01FBA"/>
    <w:rsid w:val="00E03194"/>
    <w:rsid w:val="00E03249"/>
    <w:rsid w:val="00E03CD6"/>
    <w:rsid w:val="00E042B7"/>
    <w:rsid w:val="00E0446E"/>
    <w:rsid w:val="00E0500A"/>
    <w:rsid w:val="00E054D0"/>
    <w:rsid w:val="00E06687"/>
    <w:rsid w:val="00E10767"/>
    <w:rsid w:val="00E10DCA"/>
    <w:rsid w:val="00E11342"/>
    <w:rsid w:val="00E122DD"/>
    <w:rsid w:val="00E12499"/>
    <w:rsid w:val="00E13E29"/>
    <w:rsid w:val="00E1591D"/>
    <w:rsid w:val="00E16083"/>
    <w:rsid w:val="00E16100"/>
    <w:rsid w:val="00E16E4F"/>
    <w:rsid w:val="00E17055"/>
    <w:rsid w:val="00E17489"/>
    <w:rsid w:val="00E17819"/>
    <w:rsid w:val="00E2029A"/>
    <w:rsid w:val="00E205B4"/>
    <w:rsid w:val="00E21BB3"/>
    <w:rsid w:val="00E221B6"/>
    <w:rsid w:val="00E2235B"/>
    <w:rsid w:val="00E2477F"/>
    <w:rsid w:val="00E262F7"/>
    <w:rsid w:val="00E26EE6"/>
    <w:rsid w:val="00E3097A"/>
    <w:rsid w:val="00E31794"/>
    <w:rsid w:val="00E3224E"/>
    <w:rsid w:val="00E32980"/>
    <w:rsid w:val="00E32D6A"/>
    <w:rsid w:val="00E32EC8"/>
    <w:rsid w:val="00E33808"/>
    <w:rsid w:val="00E33DBB"/>
    <w:rsid w:val="00E340CD"/>
    <w:rsid w:val="00E34435"/>
    <w:rsid w:val="00E3499D"/>
    <w:rsid w:val="00E36683"/>
    <w:rsid w:val="00E367B0"/>
    <w:rsid w:val="00E40327"/>
    <w:rsid w:val="00E405B7"/>
    <w:rsid w:val="00E41C9D"/>
    <w:rsid w:val="00E4427B"/>
    <w:rsid w:val="00E449FC"/>
    <w:rsid w:val="00E44BDD"/>
    <w:rsid w:val="00E4501B"/>
    <w:rsid w:val="00E453BE"/>
    <w:rsid w:val="00E461CE"/>
    <w:rsid w:val="00E462E2"/>
    <w:rsid w:val="00E47085"/>
    <w:rsid w:val="00E47509"/>
    <w:rsid w:val="00E503D0"/>
    <w:rsid w:val="00E509AE"/>
    <w:rsid w:val="00E509EF"/>
    <w:rsid w:val="00E50AEC"/>
    <w:rsid w:val="00E50EFE"/>
    <w:rsid w:val="00E51603"/>
    <w:rsid w:val="00E51646"/>
    <w:rsid w:val="00E520BF"/>
    <w:rsid w:val="00E535EB"/>
    <w:rsid w:val="00E5635C"/>
    <w:rsid w:val="00E56C4D"/>
    <w:rsid w:val="00E6011D"/>
    <w:rsid w:val="00E6191E"/>
    <w:rsid w:val="00E623F6"/>
    <w:rsid w:val="00E62F52"/>
    <w:rsid w:val="00E63186"/>
    <w:rsid w:val="00E63197"/>
    <w:rsid w:val="00E639FB"/>
    <w:rsid w:val="00E63A9E"/>
    <w:rsid w:val="00E640DF"/>
    <w:rsid w:val="00E64EAB"/>
    <w:rsid w:val="00E650FA"/>
    <w:rsid w:val="00E65AE2"/>
    <w:rsid w:val="00E65B34"/>
    <w:rsid w:val="00E6611B"/>
    <w:rsid w:val="00E6622F"/>
    <w:rsid w:val="00E665C9"/>
    <w:rsid w:val="00E66D95"/>
    <w:rsid w:val="00E66F02"/>
    <w:rsid w:val="00E67335"/>
    <w:rsid w:val="00E702D4"/>
    <w:rsid w:val="00E7139D"/>
    <w:rsid w:val="00E71767"/>
    <w:rsid w:val="00E71A58"/>
    <w:rsid w:val="00E726A5"/>
    <w:rsid w:val="00E7279C"/>
    <w:rsid w:val="00E736BB"/>
    <w:rsid w:val="00E737D0"/>
    <w:rsid w:val="00E73E1C"/>
    <w:rsid w:val="00E73EF4"/>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4C64"/>
    <w:rsid w:val="00E85FDA"/>
    <w:rsid w:val="00E86640"/>
    <w:rsid w:val="00E8665E"/>
    <w:rsid w:val="00E86DD9"/>
    <w:rsid w:val="00E86F74"/>
    <w:rsid w:val="00E90A97"/>
    <w:rsid w:val="00E91C00"/>
    <w:rsid w:val="00E9203A"/>
    <w:rsid w:val="00E9248A"/>
    <w:rsid w:val="00E93462"/>
    <w:rsid w:val="00E93824"/>
    <w:rsid w:val="00E93D08"/>
    <w:rsid w:val="00E9473A"/>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A50"/>
    <w:rsid w:val="00EC2BD7"/>
    <w:rsid w:val="00EC2C8F"/>
    <w:rsid w:val="00EC3922"/>
    <w:rsid w:val="00EC3DF5"/>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71A"/>
    <w:rsid w:val="00ED4025"/>
    <w:rsid w:val="00ED4BB2"/>
    <w:rsid w:val="00ED54C7"/>
    <w:rsid w:val="00ED562E"/>
    <w:rsid w:val="00ED5CEF"/>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5B1"/>
    <w:rsid w:val="00EF384C"/>
    <w:rsid w:val="00EF43A5"/>
    <w:rsid w:val="00EF5196"/>
    <w:rsid w:val="00EF55DB"/>
    <w:rsid w:val="00EF5A12"/>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BDB"/>
    <w:rsid w:val="00F07C3E"/>
    <w:rsid w:val="00F10013"/>
    <w:rsid w:val="00F103DC"/>
    <w:rsid w:val="00F106A8"/>
    <w:rsid w:val="00F10925"/>
    <w:rsid w:val="00F10A27"/>
    <w:rsid w:val="00F10B9F"/>
    <w:rsid w:val="00F122D4"/>
    <w:rsid w:val="00F122E7"/>
    <w:rsid w:val="00F1355A"/>
    <w:rsid w:val="00F14F99"/>
    <w:rsid w:val="00F152F5"/>
    <w:rsid w:val="00F157E4"/>
    <w:rsid w:val="00F16BE8"/>
    <w:rsid w:val="00F170C5"/>
    <w:rsid w:val="00F17B62"/>
    <w:rsid w:val="00F17FDF"/>
    <w:rsid w:val="00F20046"/>
    <w:rsid w:val="00F20149"/>
    <w:rsid w:val="00F20405"/>
    <w:rsid w:val="00F2071B"/>
    <w:rsid w:val="00F20E27"/>
    <w:rsid w:val="00F20EE3"/>
    <w:rsid w:val="00F21708"/>
    <w:rsid w:val="00F2228A"/>
    <w:rsid w:val="00F223B7"/>
    <w:rsid w:val="00F2274E"/>
    <w:rsid w:val="00F2293A"/>
    <w:rsid w:val="00F22F0A"/>
    <w:rsid w:val="00F22F37"/>
    <w:rsid w:val="00F23153"/>
    <w:rsid w:val="00F23391"/>
    <w:rsid w:val="00F24187"/>
    <w:rsid w:val="00F25405"/>
    <w:rsid w:val="00F25BD9"/>
    <w:rsid w:val="00F264E9"/>
    <w:rsid w:val="00F279EA"/>
    <w:rsid w:val="00F300DF"/>
    <w:rsid w:val="00F31859"/>
    <w:rsid w:val="00F3349D"/>
    <w:rsid w:val="00F3456F"/>
    <w:rsid w:val="00F35D88"/>
    <w:rsid w:val="00F36E3E"/>
    <w:rsid w:val="00F37324"/>
    <w:rsid w:val="00F37725"/>
    <w:rsid w:val="00F37B2E"/>
    <w:rsid w:val="00F40586"/>
    <w:rsid w:val="00F418BB"/>
    <w:rsid w:val="00F42166"/>
    <w:rsid w:val="00F452B9"/>
    <w:rsid w:val="00F45A4D"/>
    <w:rsid w:val="00F45B8B"/>
    <w:rsid w:val="00F4650A"/>
    <w:rsid w:val="00F46EED"/>
    <w:rsid w:val="00F47197"/>
    <w:rsid w:val="00F47754"/>
    <w:rsid w:val="00F47788"/>
    <w:rsid w:val="00F47B47"/>
    <w:rsid w:val="00F50786"/>
    <w:rsid w:val="00F52764"/>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ADC"/>
    <w:rsid w:val="00F71DA9"/>
    <w:rsid w:val="00F732FD"/>
    <w:rsid w:val="00F74D26"/>
    <w:rsid w:val="00F75063"/>
    <w:rsid w:val="00F76115"/>
    <w:rsid w:val="00F765A3"/>
    <w:rsid w:val="00F76774"/>
    <w:rsid w:val="00F76D5A"/>
    <w:rsid w:val="00F77FAB"/>
    <w:rsid w:val="00F80C9C"/>
    <w:rsid w:val="00F80E25"/>
    <w:rsid w:val="00F816D7"/>
    <w:rsid w:val="00F817BE"/>
    <w:rsid w:val="00F818E1"/>
    <w:rsid w:val="00F81AC1"/>
    <w:rsid w:val="00F81C67"/>
    <w:rsid w:val="00F81E40"/>
    <w:rsid w:val="00F82050"/>
    <w:rsid w:val="00F828EA"/>
    <w:rsid w:val="00F82B27"/>
    <w:rsid w:val="00F835C1"/>
    <w:rsid w:val="00F83EA0"/>
    <w:rsid w:val="00F841AF"/>
    <w:rsid w:val="00F8487D"/>
    <w:rsid w:val="00F84944"/>
    <w:rsid w:val="00F84C05"/>
    <w:rsid w:val="00F856C8"/>
    <w:rsid w:val="00F900D7"/>
    <w:rsid w:val="00F91692"/>
    <w:rsid w:val="00F9199D"/>
    <w:rsid w:val="00F91C35"/>
    <w:rsid w:val="00F92414"/>
    <w:rsid w:val="00F92B4A"/>
    <w:rsid w:val="00F92CAB"/>
    <w:rsid w:val="00F93137"/>
    <w:rsid w:val="00F936A3"/>
    <w:rsid w:val="00F949C0"/>
    <w:rsid w:val="00F9527B"/>
    <w:rsid w:val="00F95908"/>
    <w:rsid w:val="00F96638"/>
    <w:rsid w:val="00F96E20"/>
    <w:rsid w:val="00F974F9"/>
    <w:rsid w:val="00FA13A6"/>
    <w:rsid w:val="00FA1535"/>
    <w:rsid w:val="00FA188B"/>
    <w:rsid w:val="00FA234C"/>
    <w:rsid w:val="00FA2567"/>
    <w:rsid w:val="00FA326A"/>
    <w:rsid w:val="00FA33CB"/>
    <w:rsid w:val="00FA4063"/>
    <w:rsid w:val="00FA4609"/>
    <w:rsid w:val="00FA5B5C"/>
    <w:rsid w:val="00FA6CD3"/>
    <w:rsid w:val="00FA715B"/>
    <w:rsid w:val="00FA7885"/>
    <w:rsid w:val="00FB1D4D"/>
    <w:rsid w:val="00FB25BC"/>
    <w:rsid w:val="00FB2C03"/>
    <w:rsid w:val="00FB3793"/>
    <w:rsid w:val="00FB427A"/>
    <w:rsid w:val="00FB497F"/>
    <w:rsid w:val="00FB4F9B"/>
    <w:rsid w:val="00FB67D5"/>
    <w:rsid w:val="00FB71B2"/>
    <w:rsid w:val="00FB7AA0"/>
    <w:rsid w:val="00FC0162"/>
    <w:rsid w:val="00FC02F2"/>
    <w:rsid w:val="00FC0D17"/>
    <w:rsid w:val="00FC1697"/>
    <w:rsid w:val="00FC3532"/>
    <w:rsid w:val="00FC3EF8"/>
    <w:rsid w:val="00FC475F"/>
    <w:rsid w:val="00FC4ED4"/>
    <w:rsid w:val="00FC562B"/>
    <w:rsid w:val="00FC611E"/>
    <w:rsid w:val="00FC622B"/>
    <w:rsid w:val="00FC6DA4"/>
    <w:rsid w:val="00FC6DAF"/>
    <w:rsid w:val="00FC6E8D"/>
    <w:rsid w:val="00FC6FB0"/>
    <w:rsid w:val="00FC743F"/>
    <w:rsid w:val="00FC74DA"/>
    <w:rsid w:val="00FC7E20"/>
    <w:rsid w:val="00FD015B"/>
    <w:rsid w:val="00FD0212"/>
    <w:rsid w:val="00FD16C5"/>
    <w:rsid w:val="00FD17A5"/>
    <w:rsid w:val="00FD1D15"/>
    <w:rsid w:val="00FD24FF"/>
    <w:rsid w:val="00FD2E14"/>
    <w:rsid w:val="00FD3368"/>
    <w:rsid w:val="00FD3C6F"/>
    <w:rsid w:val="00FD3E8E"/>
    <w:rsid w:val="00FD58F3"/>
    <w:rsid w:val="00FD61FF"/>
    <w:rsid w:val="00FD671D"/>
    <w:rsid w:val="00FE0558"/>
    <w:rsid w:val="00FE1DC3"/>
    <w:rsid w:val="00FE22F3"/>
    <w:rsid w:val="00FE2B73"/>
    <w:rsid w:val="00FE33D6"/>
    <w:rsid w:val="00FE3460"/>
    <w:rsid w:val="00FE5A8F"/>
    <w:rsid w:val="00FE5BC3"/>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232"/>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customXml/itemProps2.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4.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5747</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Alexandra Brouwer</cp:lastModifiedBy>
  <cp:revision>2</cp:revision>
  <cp:lastPrinted>2018-12-18T01:36:00Z</cp:lastPrinted>
  <dcterms:created xsi:type="dcterms:W3CDTF">2021-02-08T00:02:00Z</dcterms:created>
  <dcterms:modified xsi:type="dcterms:W3CDTF">2021-02-08T00:02:00Z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