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7AE2D" w14:textId="65F5CD25" w:rsidR="00BC658B" w:rsidRDefault="00777B06" w:rsidP="00DA123D">
      <w:pPr>
        <w:jc w:val="center"/>
        <w:rPr>
          <w:rFonts w:ascii="Arial" w:eastAsia="Times New Roman" w:hAnsi="Arial" w:cs="Arial"/>
          <w:color w:val="17365D"/>
          <w:spacing w:val="5"/>
          <w:kern w:val="28"/>
          <w:sz w:val="52"/>
          <w:szCs w:val="52"/>
          <w:lang w:val="en-US" w:eastAsia="x-none"/>
        </w:rPr>
      </w:pPr>
      <w:bookmarkStart w:id="0" w:name="_GoBack"/>
      <w:bookmarkEnd w:id="0"/>
      <w:r w:rsidRPr="00777B06">
        <w:rPr>
          <w:rFonts w:ascii="Arial" w:hAnsi="Arial" w:cs="Arial"/>
          <w:noProof/>
          <w:lang w:eastAsia="en-AU"/>
        </w:rPr>
        <w:drawing>
          <wp:anchor distT="0" distB="0" distL="114300" distR="114300" simplePos="0" relativeHeight="251664384" behindDoc="0" locked="0" layoutInCell="1" allowOverlap="1" wp14:anchorId="020019F4" wp14:editId="02DBE31E">
            <wp:simplePos x="0" y="0"/>
            <wp:positionH relativeFrom="page">
              <wp:align>left</wp:align>
            </wp:positionH>
            <wp:positionV relativeFrom="paragraph">
              <wp:posOffset>-1220470</wp:posOffset>
            </wp:positionV>
            <wp:extent cx="7378700" cy="10437298"/>
            <wp:effectExtent l="0" t="0" r="0" b="0"/>
            <wp:wrapNone/>
            <wp:docPr id="5" name="Picture 5" descr="C:\Users\bargej\AppData\Local\Microsoft\Windows\INetCache\Content.Outlook\2ELD1JT6\DPC5754 QIRT Determination15 cover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gej\AppData\Local\Microsoft\Windows\INetCache\Content.Outlook\2ELD1JT6\DPC5754 QIRT Determination15 cover v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0" cy="10437298"/>
                    </a:xfrm>
                    <a:prstGeom prst="rect">
                      <a:avLst/>
                    </a:prstGeom>
                    <a:noFill/>
                    <a:ln>
                      <a:noFill/>
                    </a:ln>
                  </pic:spPr>
                </pic:pic>
              </a:graphicData>
            </a:graphic>
            <wp14:sizeRelH relativeFrom="page">
              <wp14:pctWidth>0</wp14:pctWidth>
            </wp14:sizeRelH>
            <wp14:sizeRelV relativeFrom="page">
              <wp14:pctHeight>0</wp14:pctHeight>
            </wp14:sizeRelV>
          </wp:anchor>
        </w:drawing>
      </w:r>
      <w:r w:rsidR="00BC658B">
        <w:rPr>
          <w:rFonts w:ascii="Arial" w:hAnsi="Arial" w:cs="Arial"/>
          <w:lang w:val="en-US"/>
        </w:rPr>
        <w:br w:type="page"/>
      </w:r>
    </w:p>
    <w:p w14:paraId="1421A654" w14:textId="77777777" w:rsidR="00E2676D" w:rsidRPr="00E2676D" w:rsidRDefault="00E2676D" w:rsidP="00E2676D">
      <w:pPr>
        <w:pStyle w:val="Title"/>
        <w:pBdr>
          <w:bottom w:val="single" w:sz="8" w:space="7" w:color="4F81BD"/>
        </w:pBdr>
        <w:rPr>
          <w:rFonts w:ascii="Arial" w:hAnsi="Arial" w:cs="Arial"/>
          <w:lang w:val="en-US"/>
        </w:rPr>
      </w:pPr>
      <w:r>
        <w:rPr>
          <w:rFonts w:ascii="Arial" w:hAnsi="Arial" w:cs="Arial"/>
          <w:lang w:val="en-US"/>
        </w:rPr>
        <w:lastRenderedPageBreak/>
        <w:t>Reasons</w:t>
      </w:r>
    </w:p>
    <w:p w14:paraId="69F69DE9" w14:textId="77777777" w:rsidR="00E2676D" w:rsidRPr="00B81E81" w:rsidRDefault="00E2676D" w:rsidP="006C5162">
      <w:pPr>
        <w:pStyle w:val="Heading2"/>
        <w:spacing w:before="0" w:after="120"/>
        <w:contextualSpacing/>
        <w:rPr>
          <w:rFonts w:ascii="Arial" w:hAnsi="Arial" w:cs="Arial"/>
        </w:rPr>
      </w:pPr>
      <w:r w:rsidRPr="00B81E81">
        <w:rPr>
          <w:rFonts w:ascii="Arial" w:hAnsi="Arial" w:cs="Arial"/>
        </w:rPr>
        <w:t>Background</w:t>
      </w:r>
    </w:p>
    <w:p w14:paraId="3514D2BB" w14:textId="77777777" w:rsidR="00B85935" w:rsidRPr="00B81E81" w:rsidRDefault="00B85935" w:rsidP="00E16ED4">
      <w:pPr>
        <w:spacing w:after="120"/>
        <w:contextualSpacing/>
        <w:jc w:val="both"/>
        <w:rPr>
          <w:rFonts w:ascii="Arial" w:hAnsi="Arial" w:cs="Arial"/>
          <w:bCs/>
        </w:rPr>
      </w:pPr>
      <w:r w:rsidRPr="00B81E81">
        <w:rPr>
          <w:rFonts w:ascii="Arial" w:hAnsi="Arial" w:cs="Arial"/>
          <w:bCs/>
        </w:rPr>
        <w:t xml:space="preserve">The Queensland Independent Remuneration Tribunal (the Tribunal) is an independent statutory authority established by the </w:t>
      </w:r>
      <w:r w:rsidRPr="00B81E81">
        <w:rPr>
          <w:rFonts w:ascii="Arial" w:hAnsi="Arial" w:cs="Arial"/>
          <w:bCs/>
          <w:i/>
        </w:rPr>
        <w:t>Queensland Independent Remuneration Tribunal Act 2013</w:t>
      </w:r>
      <w:r w:rsidRPr="00B81E81">
        <w:rPr>
          <w:rFonts w:ascii="Arial" w:hAnsi="Arial" w:cs="Arial"/>
          <w:bCs/>
        </w:rPr>
        <w:t xml:space="preserve"> (the Act). </w:t>
      </w:r>
    </w:p>
    <w:p w14:paraId="7AE516AA" w14:textId="77777777" w:rsidR="009D0076" w:rsidRPr="00B81E81" w:rsidRDefault="00BC658B" w:rsidP="00E16ED4">
      <w:pPr>
        <w:tabs>
          <w:tab w:val="left" w:pos="3068"/>
        </w:tabs>
        <w:spacing w:after="120"/>
        <w:contextualSpacing/>
        <w:jc w:val="both"/>
        <w:rPr>
          <w:rFonts w:ascii="Arial" w:hAnsi="Arial" w:cs="Arial"/>
          <w:bCs/>
        </w:rPr>
      </w:pPr>
      <w:r>
        <w:rPr>
          <w:rFonts w:ascii="Arial" w:hAnsi="Arial" w:cs="Arial"/>
          <w:bCs/>
        </w:rPr>
        <w:tab/>
      </w:r>
    </w:p>
    <w:p w14:paraId="41A36394" w14:textId="77777777" w:rsidR="005A4A4B" w:rsidRPr="00B81E81" w:rsidRDefault="00B85935" w:rsidP="00E16ED4">
      <w:pPr>
        <w:spacing w:after="120"/>
        <w:contextualSpacing/>
        <w:jc w:val="both"/>
        <w:rPr>
          <w:rFonts w:ascii="Arial" w:hAnsi="Arial" w:cs="Arial"/>
          <w:bCs/>
        </w:rPr>
      </w:pPr>
      <w:r w:rsidRPr="00B81E81">
        <w:rPr>
          <w:rFonts w:ascii="Arial" w:hAnsi="Arial" w:cs="Arial"/>
          <w:bCs/>
        </w:rPr>
        <w:t xml:space="preserve">The Tribunal has </w:t>
      </w:r>
      <w:r w:rsidR="00CC6F12" w:rsidRPr="00B81E81">
        <w:rPr>
          <w:rFonts w:ascii="Arial" w:hAnsi="Arial" w:cs="Arial"/>
          <w:bCs/>
        </w:rPr>
        <w:t>the power to make</w:t>
      </w:r>
      <w:r w:rsidRPr="00B81E81">
        <w:rPr>
          <w:rFonts w:ascii="Arial" w:hAnsi="Arial" w:cs="Arial"/>
          <w:bCs/>
        </w:rPr>
        <w:t xml:space="preserve"> determinations in accordance with section 27 of the Act which provides for ‘…the power to make determinations about remunerat</w:t>
      </w:r>
      <w:r w:rsidR="00770F88" w:rsidRPr="00B81E81">
        <w:rPr>
          <w:rFonts w:ascii="Arial" w:hAnsi="Arial" w:cs="Arial"/>
          <w:bCs/>
        </w:rPr>
        <w:t>ion in connection with members [MPs]</w:t>
      </w:r>
      <w:r w:rsidRPr="00B81E81">
        <w:rPr>
          <w:rFonts w:ascii="Arial" w:hAnsi="Arial" w:cs="Arial"/>
          <w:bCs/>
        </w:rPr>
        <w:t xml:space="preserve"> and former members of the </w:t>
      </w:r>
      <w:r w:rsidR="00770F88" w:rsidRPr="00B81E81">
        <w:rPr>
          <w:rFonts w:ascii="Arial" w:hAnsi="Arial" w:cs="Arial"/>
          <w:bCs/>
        </w:rPr>
        <w:t>[</w:t>
      </w:r>
      <w:r w:rsidRPr="00B81E81">
        <w:rPr>
          <w:rFonts w:ascii="Arial" w:hAnsi="Arial" w:cs="Arial"/>
          <w:bCs/>
        </w:rPr>
        <w:t>Q</w:t>
      </w:r>
      <w:r w:rsidR="00770F88" w:rsidRPr="00B81E81">
        <w:rPr>
          <w:rFonts w:ascii="Arial" w:hAnsi="Arial" w:cs="Arial"/>
          <w:bCs/>
        </w:rPr>
        <w:t>ueensland Legislative] Assembly’</w:t>
      </w:r>
      <w:r w:rsidRPr="00B81E81">
        <w:rPr>
          <w:rFonts w:ascii="Arial" w:hAnsi="Arial" w:cs="Arial"/>
          <w:bCs/>
        </w:rPr>
        <w:t>.</w:t>
      </w:r>
    </w:p>
    <w:p w14:paraId="34300D4B" w14:textId="77777777" w:rsidR="00B85935" w:rsidRPr="00B81E81" w:rsidRDefault="00B85935" w:rsidP="00E16ED4">
      <w:pPr>
        <w:spacing w:after="120"/>
        <w:contextualSpacing/>
        <w:jc w:val="both"/>
        <w:rPr>
          <w:rFonts w:ascii="Arial" w:hAnsi="Arial" w:cs="Arial"/>
          <w:bCs/>
        </w:rPr>
      </w:pPr>
    </w:p>
    <w:p w14:paraId="327AB8A2" w14:textId="77777777" w:rsidR="00B85935" w:rsidRPr="00B81E81" w:rsidRDefault="00B85935" w:rsidP="00E16ED4">
      <w:pPr>
        <w:spacing w:after="120"/>
        <w:contextualSpacing/>
        <w:jc w:val="both"/>
        <w:rPr>
          <w:rFonts w:ascii="Arial" w:hAnsi="Arial" w:cs="Arial"/>
          <w:bCs/>
        </w:rPr>
      </w:pPr>
      <w:r w:rsidRPr="00B81E81">
        <w:rPr>
          <w:rFonts w:ascii="Arial" w:hAnsi="Arial" w:cs="Arial"/>
          <w:bCs/>
        </w:rPr>
        <w:t>The definition of ‘remuneration’ under the Act includes the annual salary (s41), the additional salary (s42) and associated allowances (s54) payable to an MP for performing roles as an office holder in addition to that of an MP in the Queensland Legislative Assembly.</w:t>
      </w:r>
    </w:p>
    <w:p w14:paraId="2909F625" w14:textId="77777777" w:rsidR="00AC17F8" w:rsidRPr="00B81E81" w:rsidRDefault="00AC17F8" w:rsidP="006C5162">
      <w:pPr>
        <w:spacing w:after="120"/>
        <w:contextualSpacing/>
        <w:rPr>
          <w:rFonts w:ascii="Arial" w:hAnsi="Arial" w:cs="Arial"/>
        </w:rPr>
      </w:pPr>
    </w:p>
    <w:p w14:paraId="7E34B45E" w14:textId="77777777" w:rsidR="005A4A4B" w:rsidRPr="00B81E81" w:rsidRDefault="00B54786" w:rsidP="006C5162">
      <w:pPr>
        <w:pStyle w:val="Heading2"/>
        <w:spacing w:before="0" w:after="120"/>
        <w:contextualSpacing/>
        <w:rPr>
          <w:rFonts w:ascii="Arial" w:hAnsi="Arial" w:cs="Arial"/>
        </w:rPr>
      </w:pPr>
      <w:r w:rsidRPr="00B81E81">
        <w:rPr>
          <w:rFonts w:ascii="Arial" w:hAnsi="Arial" w:cs="Arial"/>
        </w:rPr>
        <w:t>Introduction</w:t>
      </w:r>
    </w:p>
    <w:p w14:paraId="46F86C90" w14:textId="0097AB30" w:rsidR="00B81E81" w:rsidRPr="00B81E81" w:rsidRDefault="00B81E81" w:rsidP="00E16ED4">
      <w:pPr>
        <w:spacing w:after="120"/>
        <w:contextualSpacing/>
        <w:jc w:val="both"/>
        <w:rPr>
          <w:rFonts w:ascii="Arial" w:hAnsi="Arial" w:cs="Arial"/>
        </w:rPr>
      </w:pPr>
      <w:r w:rsidRPr="00B81E81">
        <w:rPr>
          <w:rFonts w:ascii="Arial" w:hAnsi="Arial" w:cs="Arial"/>
        </w:rPr>
        <w:t>On 14</w:t>
      </w:r>
      <w:r w:rsidR="00500C8A">
        <w:rPr>
          <w:rFonts w:ascii="Arial" w:hAnsi="Arial" w:cs="Arial"/>
        </w:rPr>
        <w:t xml:space="preserve"> June</w:t>
      </w:r>
      <w:r w:rsidRPr="00B81E81">
        <w:rPr>
          <w:rFonts w:ascii="Arial" w:hAnsi="Arial" w:cs="Arial"/>
        </w:rPr>
        <w:t xml:space="preserve"> 2017</w:t>
      </w:r>
      <w:r w:rsidR="00F823D9">
        <w:rPr>
          <w:rFonts w:ascii="Arial" w:hAnsi="Arial" w:cs="Arial"/>
        </w:rPr>
        <w:t>,</w:t>
      </w:r>
      <w:r w:rsidRPr="00B81E81">
        <w:rPr>
          <w:rFonts w:ascii="Arial" w:hAnsi="Arial" w:cs="Arial"/>
        </w:rPr>
        <w:t xml:space="preserve"> the Legislative Assembly </w:t>
      </w:r>
      <w:r w:rsidR="00F823D9" w:rsidRPr="00CC0275">
        <w:rPr>
          <w:rFonts w:ascii="Arial" w:eastAsia="Times New Roman" w:hAnsi="Arial" w:cs="Arial"/>
          <w:bCs/>
        </w:rPr>
        <w:t>passe</w:t>
      </w:r>
      <w:r w:rsidR="00F823D9">
        <w:rPr>
          <w:rFonts w:ascii="Arial" w:eastAsia="Times New Roman" w:hAnsi="Arial" w:cs="Arial"/>
          <w:bCs/>
        </w:rPr>
        <w:t>d a</w:t>
      </w:r>
      <w:r w:rsidR="00F823D9" w:rsidRPr="00CC0275">
        <w:rPr>
          <w:rFonts w:ascii="Arial" w:eastAsia="Times New Roman" w:hAnsi="Arial" w:cs="Arial"/>
          <w:bCs/>
        </w:rPr>
        <w:t xml:space="preserve"> resolution to establish the offices</w:t>
      </w:r>
      <w:r w:rsidR="00F823D9" w:rsidRPr="00B81E81">
        <w:rPr>
          <w:rFonts w:ascii="Arial" w:hAnsi="Arial" w:cs="Arial"/>
        </w:rPr>
        <w:t xml:space="preserve"> </w:t>
      </w:r>
      <w:r w:rsidRPr="00B81E81">
        <w:rPr>
          <w:rFonts w:ascii="Arial" w:hAnsi="Arial" w:cs="Arial"/>
        </w:rPr>
        <w:t>of</w:t>
      </w:r>
      <w:r w:rsidR="00500C8A">
        <w:rPr>
          <w:rFonts w:ascii="Arial" w:hAnsi="Arial" w:cs="Arial"/>
        </w:rPr>
        <w:t xml:space="preserve"> </w:t>
      </w:r>
      <w:r w:rsidR="00EC66EA">
        <w:rPr>
          <w:rFonts w:ascii="Arial" w:hAnsi="Arial" w:cs="Arial"/>
        </w:rPr>
        <w:t>chair and member of s</w:t>
      </w:r>
      <w:r w:rsidR="00500C8A">
        <w:rPr>
          <w:rFonts w:ascii="Arial" w:hAnsi="Arial" w:cs="Arial"/>
        </w:rPr>
        <w:t xml:space="preserve">elect </w:t>
      </w:r>
      <w:r w:rsidR="00EC66EA">
        <w:rPr>
          <w:rFonts w:ascii="Arial" w:hAnsi="Arial" w:cs="Arial"/>
        </w:rPr>
        <w:t>c</w:t>
      </w:r>
      <w:r w:rsidR="00500C8A">
        <w:rPr>
          <w:rFonts w:ascii="Arial" w:hAnsi="Arial" w:cs="Arial"/>
        </w:rPr>
        <w:t xml:space="preserve">ommittees </w:t>
      </w:r>
      <w:r w:rsidRPr="00B81E81">
        <w:rPr>
          <w:rFonts w:ascii="Arial" w:hAnsi="Arial" w:cs="Arial"/>
        </w:rPr>
        <w:t>as office</w:t>
      </w:r>
      <w:r w:rsidR="00500C8A">
        <w:rPr>
          <w:rFonts w:ascii="Arial" w:hAnsi="Arial" w:cs="Arial"/>
        </w:rPr>
        <w:t>s</w:t>
      </w:r>
      <w:r w:rsidRPr="00B81E81">
        <w:rPr>
          <w:rFonts w:ascii="Arial" w:hAnsi="Arial" w:cs="Arial"/>
        </w:rPr>
        <w:t xml:space="preserve"> entitled to be paid an additional salary under section 42 of the Act. The Tribunal has not previously considered the </w:t>
      </w:r>
      <w:r>
        <w:rPr>
          <w:rFonts w:ascii="Arial" w:hAnsi="Arial" w:cs="Arial"/>
        </w:rPr>
        <w:t xml:space="preserve">additional </w:t>
      </w:r>
      <w:r w:rsidRPr="00B81E81">
        <w:rPr>
          <w:rFonts w:ascii="Arial" w:hAnsi="Arial" w:cs="Arial"/>
        </w:rPr>
        <w:t>salary payable to th</w:t>
      </w:r>
      <w:r w:rsidR="00500C8A">
        <w:rPr>
          <w:rFonts w:ascii="Arial" w:hAnsi="Arial" w:cs="Arial"/>
        </w:rPr>
        <w:t xml:space="preserve">ese </w:t>
      </w:r>
      <w:r w:rsidRPr="00B81E81">
        <w:rPr>
          <w:rFonts w:ascii="Arial" w:hAnsi="Arial" w:cs="Arial"/>
        </w:rPr>
        <w:t>office</w:t>
      </w:r>
      <w:r w:rsidR="00500C8A">
        <w:rPr>
          <w:rFonts w:ascii="Arial" w:hAnsi="Arial" w:cs="Arial"/>
        </w:rPr>
        <w:t>s</w:t>
      </w:r>
      <w:r>
        <w:rPr>
          <w:rFonts w:ascii="Arial" w:hAnsi="Arial" w:cs="Arial"/>
        </w:rPr>
        <w:t xml:space="preserve"> </w:t>
      </w:r>
      <w:r w:rsidR="00876240">
        <w:rPr>
          <w:rFonts w:ascii="Arial" w:hAnsi="Arial" w:cs="Arial"/>
        </w:rPr>
        <w:t xml:space="preserve">and therefore a determination </w:t>
      </w:r>
      <w:r w:rsidR="00A8088D">
        <w:rPr>
          <w:rFonts w:ascii="Arial" w:hAnsi="Arial" w:cs="Arial"/>
        </w:rPr>
        <w:t xml:space="preserve">may be made in accordance with section 31B of the Act. </w:t>
      </w:r>
      <w:r w:rsidR="00876240">
        <w:rPr>
          <w:rFonts w:ascii="Arial" w:hAnsi="Arial" w:cs="Arial"/>
        </w:rPr>
        <w:t xml:space="preserve"> </w:t>
      </w:r>
    </w:p>
    <w:p w14:paraId="4369B83D" w14:textId="77777777" w:rsidR="009D0076" w:rsidRPr="00B81E81" w:rsidRDefault="009D0076" w:rsidP="006C5162">
      <w:pPr>
        <w:pStyle w:val="Heading2"/>
        <w:spacing w:before="0" w:after="120"/>
        <w:contextualSpacing/>
        <w:rPr>
          <w:rFonts w:ascii="Arial" w:hAnsi="Arial" w:cs="Arial"/>
        </w:rPr>
      </w:pPr>
    </w:p>
    <w:p w14:paraId="49CDD387" w14:textId="0B7DC6FE" w:rsidR="00B54786" w:rsidRDefault="00876240" w:rsidP="006C5162">
      <w:pPr>
        <w:pStyle w:val="Heading2"/>
        <w:spacing w:before="0" w:after="120"/>
        <w:contextualSpacing/>
        <w:rPr>
          <w:rFonts w:ascii="Arial" w:hAnsi="Arial" w:cs="Arial"/>
        </w:rPr>
      </w:pPr>
      <w:r>
        <w:rPr>
          <w:rFonts w:ascii="Arial" w:hAnsi="Arial" w:cs="Arial"/>
        </w:rPr>
        <w:t xml:space="preserve">Role of </w:t>
      </w:r>
      <w:r w:rsidR="00500C8A">
        <w:rPr>
          <w:rFonts w:ascii="Arial" w:hAnsi="Arial" w:cs="Arial"/>
        </w:rPr>
        <w:t xml:space="preserve">Select Committees </w:t>
      </w:r>
    </w:p>
    <w:p w14:paraId="3E644974" w14:textId="70C4C9AA" w:rsidR="00A4406C" w:rsidRDefault="00E16ED4" w:rsidP="00E16ED4">
      <w:pPr>
        <w:jc w:val="both"/>
        <w:rPr>
          <w:rFonts w:ascii="Arial" w:hAnsi="Arial" w:cs="Arial"/>
        </w:rPr>
      </w:pPr>
      <w:r>
        <w:rPr>
          <w:rFonts w:ascii="Arial" w:hAnsi="Arial" w:cs="Arial"/>
        </w:rPr>
        <w:t>The role of parliamentary committee</w:t>
      </w:r>
      <w:r w:rsidR="003E6B1B">
        <w:rPr>
          <w:rFonts w:ascii="Arial" w:hAnsi="Arial" w:cs="Arial"/>
        </w:rPr>
        <w:t>s</w:t>
      </w:r>
      <w:r>
        <w:rPr>
          <w:rFonts w:ascii="Arial" w:hAnsi="Arial" w:cs="Arial"/>
        </w:rPr>
        <w:t xml:space="preserve"> is to </w:t>
      </w:r>
      <w:r w:rsidRPr="008C06C8">
        <w:rPr>
          <w:rFonts w:ascii="Arial" w:hAnsi="Arial" w:cs="Arial"/>
        </w:rPr>
        <w:t>investigate specific</w:t>
      </w:r>
      <w:r w:rsidR="003E6B1B">
        <w:rPr>
          <w:rFonts w:ascii="Arial" w:hAnsi="Arial" w:cs="Arial"/>
        </w:rPr>
        <w:t xml:space="preserve"> issues and report back to the Legislative Assembly</w:t>
      </w:r>
      <w:r w:rsidRPr="008C06C8">
        <w:rPr>
          <w:rFonts w:ascii="Arial" w:hAnsi="Arial" w:cs="Arial"/>
        </w:rPr>
        <w:t xml:space="preserve">. </w:t>
      </w:r>
      <w:r>
        <w:rPr>
          <w:rFonts w:ascii="Arial" w:hAnsi="Arial" w:cs="Arial"/>
        </w:rPr>
        <w:t xml:space="preserve">There </w:t>
      </w:r>
      <w:r w:rsidR="003F3DDD">
        <w:rPr>
          <w:rFonts w:ascii="Arial" w:hAnsi="Arial" w:cs="Arial"/>
        </w:rPr>
        <w:t xml:space="preserve">has been </w:t>
      </w:r>
      <w:r>
        <w:rPr>
          <w:rFonts w:ascii="Arial" w:hAnsi="Arial" w:cs="Arial"/>
        </w:rPr>
        <w:t xml:space="preserve">one select committee in </w:t>
      </w:r>
      <w:r w:rsidR="003F3DDD">
        <w:rPr>
          <w:rFonts w:ascii="Arial" w:hAnsi="Arial" w:cs="Arial"/>
        </w:rPr>
        <w:t>the</w:t>
      </w:r>
      <w:r w:rsidR="00953B45">
        <w:rPr>
          <w:rFonts w:ascii="Arial" w:hAnsi="Arial" w:cs="Arial"/>
        </w:rPr>
        <w:t xml:space="preserve"> 55</w:t>
      </w:r>
      <w:r w:rsidR="00953B45" w:rsidRPr="003F3DDD">
        <w:rPr>
          <w:rFonts w:ascii="Arial" w:hAnsi="Arial" w:cs="Arial"/>
          <w:vertAlign w:val="superscript"/>
        </w:rPr>
        <w:t>th</w:t>
      </w:r>
      <w:r w:rsidR="00953B45">
        <w:rPr>
          <w:rFonts w:ascii="Arial" w:hAnsi="Arial" w:cs="Arial"/>
        </w:rPr>
        <w:t xml:space="preserve"> </w:t>
      </w:r>
      <w:r w:rsidR="003F3DDD">
        <w:rPr>
          <w:rFonts w:ascii="Arial" w:hAnsi="Arial" w:cs="Arial"/>
        </w:rPr>
        <w:t xml:space="preserve">Queensland </w:t>
      </w:r>
      <w:r>
        <w:rPr>
          <w:rFonts w:ascii="Arial" w:hAnsi="Arial" w:cs="Arial"/>
        </w:rPr>
        <w:t>Parliament, the</w:t>
      </w:r>
      <w:r w:rsidRPr="008C06C8">
        <w:rPr>
          <w:rFonts w:ascii="Arial" w:hAnsi="Arial" w:cs="Arial"/>
        </w:rPr>
        <w:t xml:space="preserve"> Coal Workers’ Pneumoconiosis (CWP) select committee. The CWP select committee</w:t>
      </w:r>
      <w:r>
        <w:rPr>
          <w:rFonts w:ascii="Arial" w:hAnsi="Arial" w:cs="Arial"/>
        </w:rPr>
        <w:t xml:space="preserve"> was established </w:t>
      </w:r>
      <w:r w:rsidRPr="008C06C8">
        <w:rPr>
          <w:rFonts w:ascii="Arial" w:hAnsi="Arial" w:cs="Arial"/>
        </w:rPr>
        <w:t>on 15 September 2016 to conduct an inquiry and report on the re-emergence of CWP amongst coal mine workers in Queensland</w:t>
      </w:r>
      <w:r w:rsidR="00A4406C">
        <w:rPr>
          <w:rFonts w:ascii="Arial" w:hAnsi="Arial" w:cs="Arial"/>
        </w:rPr>
        <w:t xml:space="preserve"> and was </w:t>
      </w:r>
      <w:r w:rsidR="00A4406C" w:rsidRPr="00A4406C">
        <w:rPr>
          <w:rFonts w:ascii="Arial" w:hAnsi="Arial" w:cs="Arial"/>
        </w:rPr>
        <w:t>required to report to the Legislative Assembly by 12 April 2017.</w:t>
      </w:r>
    </w:p>
    <w:p w14:paraId="71723941" w14:textId="77777777" w:rsidR="00A4406C" w:rsidRDefault="00A4406C" w:rsidP="00E16ED4">
      <w:pPr>
        <w:jc w:val="both"/>
        <w:rPr>
          <w:rFonts w:ascii="Arial" w:hAnsi="Arial" w:cs="Arial"/>
        </w:rPr>
      </w:pPr>
    </w:p>
    <w:p w14:paraId="2B298C40" w14:textId="109DF39C" w:rsidR="00E16ED4" w:rsidRDefault="00E16ED4" w:rsidP="00E16ED4">
      <w:pPr>
        <w:jc w:val="both"/>
        <w:rPr>
          <w:rFonts w:ascii="Tahoma" w:hAnsi="Tahoma" w:cs="Tahoma"/>
          <w:color w:val="000000"/>
          <w:sz w:val="18"/>
          <w:szCs w:val="18"/>
        </w:rPr>
      </w:pPr>
      <w:r w:rsidRPr="00E16ED4">
        <w:rPr>
          <w:rFonts w:ascii="Arial" w:hAnsi="Arial" w:cs="Arial"/>
        </w:rPr>
        <w:t>On 23 March 2017</w:t>
      </w:r>
      <w:r w:rsidR="00883EE0">
        <w:rPr>
          <w:rFonts w:ascii="Arial" w:hAnsi="Arial" w:cs="Arial"/>
        </w:rPr>
        <w:t>,</w:t>
      </w:r>
      <w:r w:rsidRPr="00E16ED4">
        <w:rPr>
          <w:rFonts w:ascii="Arial" w:hAnsi="Arial" w:cs="Arial"/>
        </w:rPr>
        <w:t xml:space="preserve"> the committee</w:t>
      </w:r>
      <w:r>
        <w:rPr>
          <w:rFonts w:ascii="Arial" w:hAnsi="Arial" w:cs="Arial"/>
        </w:rPr>
        <w:t xml:space="preserve">’s terms of reference was extended to include </w:t>
      </w:r>
      <w:r w:rsidRPr="00E16ED4">
        <w:rPr>
          <w:rFonts w:ascii="Arial" w:hAnsi="Arial" w:cs="Arial"/>
        </w:rPr>
        <w:t>other occupational respirable dust issues</w:t>
      </w:r>
      <w:r>
        <w:rPr>
          <w:rFonts w:ascii="Arial" w:hAnsi="Arial" w:cs="Arial"/>
        </w:rPr>
        <w:t xml:space="preserve">. </w:t>
      </w:r>
      <w:r w:rsidR="00D13CF0">
        <w:rPr>
          <w:rFonts w:ascii="Arial" w:hAnsi="Arial" w:cs="Arial"/>
        </w:rPr>
        <w:t xml:space="preserve">The CWP select committee is now required to report to the Legislative Assembly by 29 September 2017. </w:t>
      </w:r>
    </w:p>
    <w:p w14:paraId="2012C489" w14:textId="77777777" w:rsidR="00E16ED4" w:rsidRDefault="00E16ED4" w:rsidP="00E16ED4">
      <w:pPr>
        <w:jc w:val="both"/>
        <w:rPr>
          <w:rFonts w:ascii="Arial" w:hAnsi="Arial" w:cs="Arial"/>
        </w:rPr>
      </w:pPr>
    </w:p>
    <w:p w14:paraId="6F7CC15B" w14:textId="2BAC2A6A" w:rsidR="00E16ED4" w:rsidRDefault="00E16ED4" w:rsidP="00E16ED4">
      <w:pPr>
        <w:jc w:val="both"/>
        <w:rPr>
          <w:rFonts w:ascii="Arial" w:hAnsi="Arial" w:cs="Arial"/>
        </w:rPr>
      </w:pPr>
      <w:r>
        <w:rPr>
          <w:rFonts w:ascii="Arial" w:hAnsi="Arial" w:cs="Arial"/>
        </w:rPr>
        <w:t>The Standing Rules and Orders of the Legislative Assembly</w:t>
      </w:r>
      <w:r w:rsidR="00261A2B">
        <w:rPr>
          <w:rFonts w:ascii="Arial" w:hAnsi="Arial" w:cs="Arial"/>
        </w:rPr>
        <w:t xml:space="preserve"> </w:t>
      </w:r>
      <w:r w:rsidR="004352BC">
        <w:rPr>
          <w:rFonts w:ascii="Arial" w:hAnsi="Arial" w:cs="Arial"/>
        </w:rPr>
        <w:t>provide</w:t>
      </w:r>
      <w:r w:rsidRPr="008C06C8">
        <w:rPr>
          <w:rFonts w:ascii="Arial" w:hAnsi="Arial" w:cs="Arial"/>
        </w:rPr>
        <w:t xml:space="preserve"> that members are appointed by motion</w:t>
      </w:r>
      <w:r w:rsidR="00D13CF0">
        <w:rPr>
          <w:rFonts w:ascii="Arial" w:hAnsi="Arial" w:cs="Arial"/>
        </w:rPr>
        <w:t xml:space="preserve"> (Standing O</w:t>
      </w:r>
      <w:r w:rsidR="00D13CF0" w:rsidRPr="008C06C8">
        <w:rPr>
          <w:rFonts w:ascii="Arial" w:hAnsi="Arial" w:cs="Arial"/>
        </w:rPr>
        <w:t>rder 196</w:t>
      </w:r>
      <w:r w:rsidR="00D13CF0">
        <w:rPr>
          <w:rFonts w:ascii="Arial" w:hAnsi="Arial" w:cs="Arial"/>
        </w:rPr>
        <w:t>)</w:t>
      </w:r>
      <w:r>
        <w:rPr>
          <w:rFonts w:ascii="Arial" w:hAnsi="Arial" w:cs="Arial"/>
        </w:rPr>
        <w:t xml:space="preserve">. The order of appointment motion for the CWP select committee was agreed to on 15 September 2016.  </w:t>
      </w:r>
    </w:p>
    <w:p w14:paraId="232F4838" w14:textId="77777777" w:rsidR="00E16ED4" w:rsidRDefault="00E16ED4" w:rsidP="00E16ED4">
      <w:pPr>
        <w:jc w:val="both"/>
        <w:rPr>
          <w:rFonts w:ascii="Arial" w:hAnsi="Arial" w:cs="Arial"/>
        </w:rPr>
      </w:pPr>
    </w:p>
    <w:p w14:paraId="09019AC1" w14:textId="77777777" w:rsidR="003E6B1B" w:rsidRDefault="00E16ED4" w:rsidP="00E16ED4">
      <w:pPr>
        <w:jc w:val="both"/>
        <w:rPr>
          <w:rFonts w:ascii="Arial" w:hAnsi="Arial" w:cs="Arial"/>
        </w:rPr>
      </w:pPr>
      <w:r>
        <w:rPr>
          <w:rFonts w:ascii="Arial" w:hAnsi="Arial" w:cs="Arial"/>
        </w:rPr>
        <w:t>The CWP select committee is comprised of six mem</w:t>
      </w:r>
      <w:r w:rsidR="003E6B1B">
        <w:rPr>
          <w:rFonts w:ascii="Arial" w:hAnsi="Arial" w:cs="Arial"/>
        </w:rPr>
        <w:t>bers, as provided in the appointment motion of 15 September 2016.</w:t>
      </w:r>
      <w:r w:rsidR="00261A2B">
        <w:rPr>
          <w:rFonts w:ascii="Arial" w:hAnsi="Arial" w:cs="Arial"/>
        </w:rPr>
        <w:t xml:space="preserve"> </w:t>
      </w:r>
    </w:p>
    <w:p w14:paraId="4C7FCEA8" w14:textId="77777777" w:rsidR="003E6B1B" w:rsidRDefault="003E6B1B" w:rsidP="00E16ED4">
      <w:pPr>
        <w:jc w:val="both"/>
        <w:rPr>
          <w:rFonts w:ascii="Arial" w:hAnsi="Arial" w:cs="Arial"/>
        </w:rPr>
      </w:pPr>
    </w:p>
    <w:p w14:paraId="67F26030" w14:textId="1D9A88D3" w:rsidR="00E16ED4" w:rsidRDefault="00261A2B" w:rsidP="00E16ED4">
      <w:pPr>
        <w:jc w:val="both"/>
        <w:rPr>
          <w:rFonts w:ascii="Arial" w:hAnsi="Arial" w:cs="Arial"/>
        </w:rPr>
      </w:pPr>
      <w:r>
        <w:rPr>
          <w:rFonts w:ascii="Arial" w:hAnsi="Arial" w:cs="Arial"/>
        </w:rPr>
        <w:t xml:space="preserve">Standing Order 195 states if a statute, Standing Order or order of appointment does not set a number of members, the committee shall consist of seven members. </w:t>
      </w:r>
    </w:p>
    <w:p w14:paraId="4714BB2C" w14:textId="77777777" w:rsidR="00876240" w:rsidRPr="00876240" w:rsidRDefault="00876240" w:rsidP="00876240"/>
    <w:p w14:paraId="015D56DD" w14:textId="77777777" w:rsidR="00F967EE" w:rsidRPr="00876240" w:rsidRDefault="00F967EE" w:rsidP="00876240">
      <w:pPr>
        <w:pStyle w:val="Heading2"/>
        <w:spacing w:before="0" w:after="120"/>
        <w:contextualSpacing/>
        <w:rPr>
          <w:rFonts w:ascii="Arial" w:hAnsi="Arial" w:cs="Arial"/>
        </w:rPr>
      </w:pPr>
      <w:r w:rsidRPr="00B81E81">
        <w:rPr>
          <w:rFonts w:ascii="Arial" w:hAnsi="Arial" w:cs="Arial"/>
        </w:rPr>
        <w:lastRenderedPageBreak/>
        <w:t xml:space="preserve">Analysis </w:t>
      </w:r>
    </w:p>
    <w:p w14:paraId="74DA0186" w14:textId="3F2DE580" w:rsidR="00876240" w:rsidRPr="00F03B02" w:rsidRDefault="00D13CF0" w:rsidP="00E16ED4">
      <w:pPr>
        <w:spacing w:after="120"/>
        <w:contextualSpacing/>
        <w:jc w:val="both"/>
        <w:rPr>
          <w:rFonts w:ascii="Arial" w:hAnsi="Arial" w:cs="Arial"/>
        </w:rPr>
      </w:pPr>
      <w:r>
        <w:rPr>
          <w:rFonts w:ascii="Arial" w:hAnsi="Arial" w:cs="Arial"/>
        </w:rPr>
        <w:t xml:space="preserve">The </w:t>
      </w:r>
      <w:r w:rsidR="00876240">
        <w:rPr>
          <w:rFonts w:ascii="Arial" w:hAnsi="Arial" w:cs="Arial"/>
        </w:rPr>
        <w:t xml:space="preserve">Tribunal </w:t>
      </w:r>
      <w:r>
        <w:rPr>
          <w:rFonts w:ascii="Arial" w:hAnsi="Arial" w:cs="Arial"/>
        </w:rPr>
        <w:t xml:space="preserve">has previously </w:t>
      </w:r>
      <w:r w:rsidR="00876240">
        <w:rPr>
          <w:rFonts w:ascii="Arial" w:hAnsi="Arial" w:cs="Arial"/>
        </w:rPr>
        <w:t xml:space="preserve">grouped </w:t>
      </w:r>
      <w:r w:rsidR="00A8088D" w:rsidRPr="00F03B02">
        <w:rPr>
          <w:rFonts w:ascii="Arial" w:hAnsi="Arial" w:cs="Arial"/>
        </w:rPr>
        <w:t>o</w:t>
      </w:r>
      <w:r w:rsidR="00876240" w:rsidRPr="00F03B02">
        <w:rPr>
          <w:rFonts w:ascii="Arial" w:hAnsi="Arial" w:cs="Arial"/>
        </w:rPr>
        <w:t xml:space="preserve">ffices </w:t>
      </w:r>
      <w:r>
        <w:rPr>
          <w:rFonts w:ascii="Arial" w:hAnsi="Arial" w:cs="Arial"/>
        </w:rPr>
        <w:t xml:space="preserve">entitled to an additional salary </w:t>
      </w:r>
      <w:r w:rsidR="00876240" w:rsidRPr="00F03B02">
        <w:rPr>
          <w:rFonts w:ascii="Arial" w:hAnsi="Arial" w:cs="Arial"/>
        </w:rPr>
        <w:t xml:space="preserve">into </w:t>
      </w:r>
      <w:r w:rsidR="00D21F25" w:rsidRPr="00F03B02">
        <w:rPr>
          <w:rFonts w:ascii="Arial" w:hAnsi="Arial" w:cs="Arial"/>
        </w:rPr>
        <w:t>1</w:t>
      </w:r>
      <w:r w:rsidR="00D80D9B">
        <w:rPr>
          <w:rFonts w:ascii="Arial" w:hAnsi="Arial" w:cs="Arial"/>
        </w:rPr>
        <w:t>2</w:t>
      </w:r>
      <w:r w:rsidR="00D21F25" w:rsidRPr="00F03B02">
        <w:rPr>
          <w:rFonts w:ascii="Arial" w:hAnsi="Arial" w:cs="Arial"/>
        </w:rPr>
        <w:t xml:space="preserve"> </w:t>
      </w:r>
      <w:r w:rsidR="00876240" w:rsidRPr="00F03B02">
        <w:rPr>
          <w:rFonts w:ascii="Arial" w:hAnsi="Arial" w:cs="Arial"/>
        </w:rPr>
        <w:t xml:space="preserve">bands relative to the additional salary </w:t>
      </w:r>
      <w:r>
        <w:rPr>
          <w:rFonts w:ascii="Arial" w:hAnsi="Arial" w:cs="Arial"/>
        </w:rPr>
        <w:t xml:space="preserve">payable to the </w:t>
      </w:r>
      <w:r w:rsidR="00876240" w:rsidRPr="00F03B02">
        <w:rPr>
          <w:rFonts w:ascii="Arial" w:hAnsi="Arial" w:cs="Arial"/>
        </w:rPr>
        <w:t xml:space="preserve">highest office holder, the Premier. </w:t>
      </w:r>
    </w:p>
    <w:p w14:paraId="6A795615" w14:textId="77777777" w:rsidR="00C16D2D" w:rsidRPr="00F03B02" w:rsidRDefault="00C16D2D" w:rsidP="00E16ED4">
      <w:pPr>
        <w:spacing w:after="120"/>
        <w:contextualSpacing/>
        <w:jc w:val="both"/>
        <w:rPr>
          <w:rFonts w:ascii="Arial" w:hAnsi="Arial" w:cs="Arial"/>
        </w:rPr>
      </w:pPr>
    </w:p>
    <w:p w14:paraId="4BE8584B" w14:textId="322E6FF2" w:rsidR="00C16D2D" w:rsidRPr="00F03B02" w:rsidRDefault="00C16D2D" w:rsidP="00E16ED4">
      <w:pPr>
        <w:spacing w:after="120"/>
        <w:contextualSpacing/>
        <w:jc w:val="both"/>
        <w:rPr>
          <w:rFonts w:ascii="Arial" w:hAnsi="Arial" w:cs="Arial"/>
        </w:rPr>
      </w:pPr>
      <w:r w:rsidRPr="00F03B02">
        <w:rPr>
          <w:rFonts w:ascii="Arial" w:hAnsi="Arial" w:cs="Arial"/>
        </w:rPr>
        <w:t xml:space="preserve">To </w:t>
      </w:r>
      <w:r w:rsidR="00D13CF0">
        <w:rPr>
          <w:rFonts w:ascii="Arial" w:hAnsi="Arial" w:cs="Arial"/>
        </w:rPr>
        <w:t>determine</w:t>
      </w:r>
      <w:r w:rsidRPr="00F03B02">
        <w:rPr>
          <w:rFonts w:ascii="Arial" w:hAnsi="Arial" w:cs="Arial"/>
        </w:rPr>
        <w:t xml:space="preserve"> </w:t>
      </w:r>
      <w:r w:rsidR="00287E5F" w:rsidRPr="00F03B02">
        <w:rPr>
          <w:rFonts w:ascii="Arial" w:hAnsi="Arial" w:cs="Arial"/>
        </w:rPr>
        <w:t xml:space="preserve">the appropriate additional salary band </w:t>
      </w:r>
      <w:r w:rsidRPr="00F03B02">
        <w:rPr>
          <w:rFonts w:ascii="Arial" w:hAnsi="Arial" w:cs="Arial"/>
        </w:rPr>
        <w:t xml:space="preserve">for the </w:t>
      </w:r>
      <w:r w:rsidR="00D13CF0">
        <w:rPr>
          <w:rFonts w:ascii="Arial" w:hAnsi="Arial" w:cs="Arial"/>
        </w:rPr>
        <w:t>o</w:t>
      </w:r>
      <w:r w:rsidRPr="00F03B02">
        <w:rPr>
          <w:rFonts w:ascii="Arial" w:hAnsi="Arial" w:cs="Arial"/>
        </w:rPr>
        <w:t>ffice</w:t>
      </w:r>
      <w:r w:rsidR="00D80D9B">
        <w:rPr>
          <w:rFonts w:ascii="Arial" w:hAnsi="Arial" w:cs="Arial"/>
        </w:rPr>
        <w:t>s</w:t>
      </w:r>
      <w:r w:rsidRPr="00F03B02">
        <w:rPr>
          <w:rFonts w:ascii="Arial" w:hAnsi="Arial" w:cs="Arial"/>
        </w:rPr>
        <w:t xml:space="preserve"> of </w:t>
      </w:r>
      <w:r w:rsidR="00D13CF0">
        <w:rPr>
          <w:rFonts w:ascii="Arial" w:hAnsi="Arial" w:cs="Arial"/>
        </w:rPr>
        <w:t>c</w:t>
      </w:r>
      <w:r w:rsidR="00D80D9B">
        <w:rPr>
          <w:rFonts w:ascii="Arial" w:hAnsi="Arial" w:cs="Arial"/>
        </w:rPr>
        <w:t xml:space="preserve">hair and member of </w:t>
      </w:r>
      <w:r w:rsidR="00883EE0">
        <w:rPr>
          <w:rFonts w:ascii="Arial" w:hAnsi="Arial" w:cs="Arial"/>
        </w:rPr>
        <w:t>s</w:t>
      </w:r>
      <w:r w:rsidR="00D80D9B">
        <w:rPr>
          <w:rFonts w:ascii="Arial" w:hAnsi="Arial" w:cs="Arial"/>
        </w:rPr>
        <w:t xml:space="preserve">elect </w:t>
      </w:r>
      <w:r w:rsidR="00883EE0">
        <w:rPr>
          <w:rFonts w:ascii="Arial" w:hAnsi="Arial" w:cs="Arial"/>
        </w:rPr>
        <w:t>c</w:t>
      </w:r>
      <w:r w:rsidR="00D80D9B">
        <w:rPr>
          <w:rFonts w:ascii="Arial" w:hAnsi="Arial" w:cs="Arial"/>
        </w:rPr>
        <w:t>ommittees</w:t>
      </w:r>
      <w:r w:rsidR="00883EE0">
        <w:rPr>
          <w:rFonts w:ascii="Arial" w:hAnsi="Arial" w:cs="Arial"/>
        </w:rPr>
        <w:t>,</w:t>
      </w:r>
      <w:r w:rsidR="00D80D9B">
        <w:rPr>
          <w:rFonts w:ascii="Arial" w:hAnsi="Arial" w:cs="Arial"/>
        </w:rPr>
        <w:t xml:space="preserve"> </w:t>
      </w:r>
      <w:r w:rsidRPr="00F03B02">
        <w:rPr>
          <w:rFonts w:ascii="Arial" w:hAnsi="Arial" w:cs="Arial"/>
        </w:rPr>
        <w:t>the Tribunal has:</w:t>
      </w:r>
    </w:p>
    <w:p w14:paraId="0A76F5AC" w14:textId="60452727" w:rsidR="002504F0" w:rsidRDefault="002504F0" w:rsidP="00E16ED4">
      <w:pPr>
        <w:pStyle w:val="ListParagraph"/>
        <w:numPr>
          <w:ilvl w:val="0"/>
          <w:numId w:val="17"/>
        </w:numPr>
        <w:spacing w:after="120"/>
        <w:ind w:left="714" w:hanging="357"/>
        <w:contextualSpacing w:val="0"/>
        <w:jc w:val="both"/>
        <w:rPr>
          <w:rFonts w:ascii="Arial" w:hAnsi="Arial" w:cs="Arial"/>
        </w:rPr>
      </w:pPr>
      <w:r>
        <w:rPr>
          <w:rFonts w:ascii="Arial" w:hAnsi="Arial" w:cs="Arial"/>
        </w:rPr>
        <w:t xml:space="preserve">considered the role, function and responsibilities of the chair and members of a select committee; </w:t>
      </w:r>
    </w:p>
    <w:p w14:paraId="4F8E7CF3" w14:textId="3CC51314" w:rsidR="00C16D2D" w:rsidRPr="008A3267" w:rsidRDefault="00876240" w:rsidP="00E16ED4">
      <w:pPr>
        <w:pStyle w:val="ListParagraph"/>
        <w:numPr>
          <w:ilvl w:val="0"/>
          <w:numId w:val="17"/>
        </w:numPr>
        <w:spacing w:after="120"/>
        <w:ind w:left="714" w:hanging="357"/>
        <w:contextualSpacing w:val="0"/>
        <w:jc w:val="both"/>
        <w:rPr>
          <w:rFonts w:ascii="Arial" w:hAnsi="Arial" w:cs="Arial"/>
        </w:rPr>
      </w:pPr>
      <w:r w:rsidRPr="00F03B02">
        <w:rPr>
          <w:rFonts w:ascii="Arial" w:hAnsi="Arial" w:cs="Arial"/>
        </w:rPr>
        <w:t xml:space="preserve">considered </w:t>
      </w:r>
      <w:r w:rsidR="004352BC">
        <w:rPr>
          <w:rFonts w:ascii="Arial" w:hAnsi="Arial" w:cs="Arial"/>
        </w:rPr>
        <w:t xml:space="preserve">the </w:t>
      </w:r>
      <w:r w:rsidR="002504F0">
        <w:rPr>
          <w:rFonts w:ascii="Arial" w:hAnsi="Arial" w:cs="Arial"/>
        </w:rPr>
        <w:t>relativity of the role and responsibilities of e</w:t>
      </w:r>
      <w:r w:rsidR="00A8088D" w:rsidRPr="00F03B02">
        <w:rPr>
          <w:rFonts w:ascii="Arial" w:hAnsi="Arial" w:cs="Arial"/>
        </w:rPr>
        <w:t xml:space="preserve">ach office holder in the Legislative Assembly </w:t>
      </w:r>
      <w:r w:rsidR="002504F0">
        <w:rPr>
          <w:rFonts w:ascii="Arial" w:hAnsi="Arial" w:cs="Arial"/>
        </w:rPr>
        <w:t>against that of t</w:t>
      </w:r>
      <w:r w:rsidR="00287E5F" w:rsidRPr="00F03B02">
        <w:rPr>
          <w:rFonts w:ascii="Arial" w:hAnsi="Arial" w:cs="Arial"/>
        </w:rPr>
        <w:t xml:space="preserve">he </w:t>
      </w:r>
      <w:r w:rsidR="00FD7244">
        <w:rPr>
          <w:rFonts w:ascii="Arial" w:hAnsi="Arial" w:cs="Arial"/>
        </w:rPr>
        <w:t xml:space="preserve">offices of chair and member of select committees; </w:t>
      </w:r>
      <w:r w:rsidR="00287E5F" w:rsidRPr="008A3267">
        <w:rPr>
          <w:rFonts w:ascii="Arial" w:hAnsi="Arial" w:cs="Arial"/>
        </w:rPr>
        <w:t>and</w:t>
      </w:r>
    </w:p>
    <w:p w14:paraId="285C5789" w14:textId="77777777" w:rsidR="00287E5F" w:rsidRPr="00F03B02" w:rsidRDefault="00287E5F" w:rsidP="00A6234D">
      <w:pPr>
        <w:pStyle w:val="ListParagraph"/>
        <w:numPr>
          <w:ilvl w:val="0"/>
          <w:numId w:val="17"/>
        </w:numPr>
        <w:ind w:left="714" w:hanging="357"/>
        <w:contextualSpacing w:val="0"/>
        <w:rPr>
          <w:rFonts w:ascii="Arial" w:hAnsi="Arial" w:cs="Arial"/>
        </w:rPr>
      </w:pPr>
      <w:r w:rsidRPr="00F03B02">
        <w:rPr>
          <w:rFonts w:ascii="Arial" w:hAnsi="Arial" w:cs="Arial"/>
        </w:rPr>
        <w:t>consult</w:t>
      </w:r>
      <w:r w:rsidR="0078098C" w:rsidRPr="00F03B02">
        <w:rPr>
          <w:rFonts w:ascii="Arial" w:hAnsi="Arial" w:cs="Arial"/>
        </w:rPr>
        <w:t>ed</w:t>
      </w:r>
      <w:r w:rsidRPr="00F03B02">
        <w:rPr>
          <w:rFonts w:ascii="Arial" w:hAnsi="Arial" w:cs="Arial"/>
        </w:rPr>
        <w:t xml:space="preserve"> with the Clerk of the Parliament. </w:t>
      </w:r>
    </w:p>
    <w:p w14:paraId="7996F3C4" w14:textId="77777777" w:rsidR="002F1D82" w:rsidRPr="00F03B02" w:rsidRDefault="002F1D82" w:rsidP="006C5162">
      <w:pPr>
        <w:spacing w:after="120"/>
        <w:contextualSpacing/>
        <w:rPr>
          <w:rFonts w:ascii="Arial" w:hAnsi="Arial" w:cs="Arial"/>
        </w:rPr>
      </w:pPr>
    </w:p>
    <w:p w14:paraId="75CF4042" w14:textId="32D2AE17" w:rsidR="00A35842" w:rsidRPr="00F03B02" w:rsidRDefault="003E6B1B" w:rsidP="00B25C5C">
      <w:pPr>
        <w:spacing w:after="120"/>
        <w:contextualSpacing/>
        <w:jc w:val="both"/>
        <w:rPr>
          <w:rFonts w:ascii="Arial" w:hAnsi="Arial" w:cs="Arial"/>
        </w:rPr>
      </w:pPr>
      <w:r>
        <w:rPr>
          <w:rFonts w:ascii="Arial" w:hAnsi="Arial" w:cs="Arial"/>
        </w:rPr>
        <w:t>The Tribunal notes the Clerk of the Parliament’s</w:t>
      </w:r>
      <w:r w:rsidR="003C2A72" w:rsidRPr="00F03B02">
        <w:rPr>
          <w:rFonts w:ascii="Arial" w:hAnsi="Arial" w:cs="Arial"/>
        </w:rPr>
        <w:t xml:space="preserve"> advice that the </w:t>
      </w:r>
      <w:r w:rsidR="00FD7244">
        <w:rPr>
          <w:rFonts w:ascii="Arial" w:hAnsi="Arial" w:cs="Arial"/>
        </w:rPr>
        <w:t xml:space="preserve">role </w:t>
      </w:r>
      <w:r w:rsidR="00A35842" w:rsidRPr="00F03B02">
        <w:rPr>
          <w:rFonts w:ascii="Arial" w:hAnsi="Arial" w:cs="Arial"/>
        </w:rPr>
        <w:t xml:space="preserve">and </w:t>
      </w:r>
      <w:r w:rsidR="003C2A72" w:rsidRPr="00F03B02">
        <w:rPr>
          <w:rFonts w:ascii="Arial" w:hAnsi="Arial" w:cs="Arial"/>
        </w:rPr>
        <w:t>responsibilities of</w:t>
      </w:r>
      <w:r w:rsidR="00FD7244">
        <w:rPr>
          <w:rFonts w:ascii="Arial" w:hAnsi="Arial" w:cs="Arial"/>
        </w:rPr>
        <w:t xml:space="preserve"> the </w:t>
      </w:r>
      <w:r w:rsidR="00EC66EA">
        <w:rPr>
          <w:rFonts w:ascii="Arial" w:hAnsi="Arial" w:cs="Arial"/>
        </w:rPr>
        <w:t>c</w:t>
      </w:r>
      <w:r w:rsidR="00FD7244">
        <w:rPr>
          <w:rFonts w:ascii="Arial" w:hAnsi="Arial" w:cs="Arial"/>
        </w:rPr>
        <w:t xml:space="preserve">hair and members of a select committee are generally equal to those of other committees. </w:t>
      </w:r>
    </w:p>
    <w:p w14:paraId="7AFDE74C" w14:textId="77777777" w:rsidR="00A6234D" w:rsidRPr="00F03B02" w:rsidRDefault="00A6234D" w:rsidP="00B25C5C">
      <w:pPr>
        <w:spacing w:after="120"/>
        <w:contextualSpacing/>
        <w:jc w:val="both"/>
        <w:rPr>
          <w:rFonts w:ascii="Arial" w:hAnsi="Arial" w:cs="Arial"/>
        </w:rPr>
      </w:pPr>
    </w:p>
    <w:p w14:paraId="33B0ABC6" w14:textId="7909740E" w:rsidR="00FD7244" w:rsidRDefault="00D21F25" w:rsidP="00B25C5C">
      <w:pPr>
        <w:spacing w:after="120"/>
        <w:contextualSpacing/>
        <w:jc w:val="both"/>
        <w:rPr>
          <w:rFonts w:ascii="Arial" w:hAnsi="Arial" w:cs="Arial"/>
        </w:rPr>
      </w:pPr>
      <w:r w:rsidRPr="00F03B02">
        <w:rPr>
          <w:rFonts w:ascii="Arial" w:hAnsi="Arial" w:cs="Arial"/>
        </w:rPr>
        <w:t>I</w:t>
      </w:r>
      <w:r w:rsidR="00A35842" w:rsidRPr="00F03B02">
        <w:rPr>
          <w:rFonts w:ascii="Arial" w:hAnsi="Arial" w:cs="Arial"/>
        </w:rPr>
        <w:t xml:space="preserve">n Determination </w:t>
      </w:r>
      <w:r w:rsidR="005F2958">
        <w:rPr>
          <w:rFonts w:ascii="Arial" w:hAnsi="Arial" w:cs="Arial"/>
        </w:rPr>
        <w:t>3/2014</w:t>
      </w:r>
      <w:r w:rsidR="00883EE0">
        <w:rPr>
          <w:rFonts w:ascii="Arial" w:hAnsi="Arial" w:cs="Arial"/>
        </w:rPr>
        <w:t>,</w:t>
      </w:r>
      <w:r w:rsidR="00A35842" w:rsidRPr="00F03B02">
        <w:rPr>
          <w:rFonts w:ascii="Arial" w:hAnsi="Arial" w:cs="Arial"/>
        </w:rPr>
        <w:t xml:space="preserve"> </w:t>
      </w:r>
      <w:r w:rsidR="00AB1180" w:rsidRPr="00F03B02">
        <w:rPr>
          <w:rFonts w:ascii="Arial" w:hAnsi="Arial" w:cs="Arial"/>
        </w:rPr>
        <w:t>the Tribunal</w:t>
      </w:r>
      <w:r w:rsidR="00A35842" w:rsidRPr="00F03B02">
        <w:rPr>
          <w:rFonts w:ascii="Arial" w:hAnsi="Arial" w:cs="Arial"/>
        </w:rPr>
        <w:t xml:space="preserve"> determined the additional salary for the</w:t>
      </w:r>
      <w:r w:rsidR="005F2958">
        <w:rPr>
          <w:rFonts w:ascii="Arial" w:hAnsi="Arial" w:cs="Arial"/>
        </w:rPr>
        <w:t xml:space="preserve"> office of chair of a committee would sit at 25% relative to the additional salary payable to the office of the Premier. Determination 3/2014 also set the relativity of the office of member of a committee</w:t>
      </w:r>
      <w:r w:rsidR="00D13CF0">
        <w:rPr>
          <w:rFonts w:ascii="Arial" w:hAnsi="Arial" w:cs="Arial"/>
        </w:rPr>
        <w:t xml:space="preserve"> to 10% of that payable to the o</w:t>
      </w:r>
      <w:r w:rsidR="005F2958">
        <w:rPr>
          <w:rFonts w:ascii="Arial" w:hAnsi="Arial" w:cs="Arial"/>
        </w:rPr>
        <w:t xml:space="preserve">ffice of the Premier. The relativities of committee chairs and members has not changed since that time. </w:t>
      </w:r>
    </w:p>
    <w:p w14:paraId="50565978" w14:textId="77777777" w:rsidR="005F2958" w:rsidRDefault="005F2958" w:rsidP="00B25C5C">
      <w:pPr>
        <w:spacing w:after="120"/>
        <w:contextualSpacing/>
        <w:jc w:val="both"/>
        <w:rPr>
          <w:rFonts w:ascii="Arial" w:hAnsi="Arial" w:cs="Arial"/>
        </w:rPr>
      </w:pPr>
    </w:p>
    <w:p w14:paraId="53CF0521" w14:textId="679C2CE2" w:rsidR="00287E5F" w:rsidRDefault="00FD7244" w:rsidP="00B25C5C">
      <w:pPr>
        <w:spacing w:after="120"/>
        <w:contextualSpacing/>
        <w:jc w:val="both"/>
        <w:rPr>
          <w:rFonts w:ascii="Arial" w:hAnsi="Arial" w:cs="Arial"/>
        </w:rPr>
      </w:pPr>
      <w:r>
        <w:rPr>
          <w:rFonts w:ascii="Arial" w:hAnsi="Arial" w:cs="Arial"/>
        </w:rPr>
        <w:t>T</w:t>
      </w:r>
      <w:r w:rsidR="00A35842" w:rsidRPr="00F03B02">
        <w:rPr>
          <w:rFonts w:ascii="Arial" w:hAnsi="Arial" w:cs="Arial"/>
        </w:rPr>
        <w:t xml:space="preserve">he Tribunal has determined to </w:t>
      </w:r>
      <w:r>
        <w:rPr>
          <w:rFonts w:ascii="Arial" w:hAnsi="Arial" w:cs="Arial"/>
        </w:rPr>
        <w:t xml:space="preserve">align the additional salary payable to the offices of chair and member of select committees with that </w:t>
      </w:r>
      <w:r w:rsidR="00600E8A">
        <w:rPr>
          <w:rFonts w:ascii="Arial" w:hAnsi="Arial" w:cs="Arial"/>
        </w:rPr>
        <w:t>payable to portfolio committees.</w:t>
      </w:r>
    </w:p>
    <w:p w14:paraId="481E1306" w14:textId="77777777" w:rsidR="00D13CF0" w:rsidRDefault="00D13CF0" w:rsidP="00883EE0">
      <w:pPr>
        <w:jc w:val="both"/>
        <w:rPr>
          <w:rFonts w:ascii="Arial" w:hAnsi="Arial" w:cs="Arial"/>
        </w:rPr>
      </w:pPr>
    </w:p>
    <w:p w14:paraId="1345AE00" w14:textId="0096D52E" w:rsidR="00F06720" w:rsidRPr="00F06720" w:rsidRDefault="00A20BA3">
      <w:pPr>
        <w:jc w:val="both"/>
        <w:rPr>
          <w:rFonts w:ascii="Arial" w:hAnsi="Arial" w:cs="Arial"/>
        </w:rPr>
      </w:pPr>
      <w:r>
        <w:rPr>
          <w:rFonts w:ascii="Arial" w:hAnsi="Arial" w:cs="Arial"/>
        </w:rPr>
        <w:t>As t</w:t>
      </w:r>
      <w:r w:rsidR="00F06720">
        <w:rPr>
          <w:rFonts w:ascii="Arial" w:hAnsi="Arial" w:cs="Arial"/>
        </w:rPr>
        <w:t>here is currently only one select committe</w:t>
      </w:r>
      <w:r w:rsidR="00D13CF0">
        <w:rPr>
          <w:rFonts w:ascii="Arial" w:hAnsi="Arial" w:cs="Arial"/>
        </w:rPr>
        <w:t xml:space="preserve">e in the Queensland Parliament which was </w:t>
      </w:r>
      <w:r w:rsidR="00F06720" w:rsidRPr="008C06C8">
        <w:rPr>
          <w:rFonts w:ascii="Arial" w:hAnsi="Arial" w:cs="Arial"/>
        </w:rPr>
        <w:t xml:space="preserve">established on 15 September </w:t>
      </w:r>
      <w:r>
        <w:rPr>
          <w:rFonts w:ascii="Arial" w:hAnsi="Arial" w:cs="Arial"/>
        </w:rPr>
        <w:t>2016, t</w:t>
      </w:r>
      <w:r w:rsidR="00F06720" w:rsidRPr="00F06720">
        <w:rPr>
          <w:rFonts w:ascii="Arial" w:hAnsi="Arial" w:cs="Arial"/>
        </w:rPr>
        <w:t xml:space="preserve">he Tribunal considers </w:t>
      </w:r>
      <w:r w:rsidR="005F2958">
        <w:rPr>
          <w:rFonts w:ascii="Arial" w:hAnsi="Arial" w:cs="Arial"/>
        </w:rPr>
        <w:t xml:space="preserve">it appropriate for its Determination to take effect from the date of the establishment of the CWP select committee. </w:t>
      </w:r>
    </w:p>
    <w:p w14:paraId="789F5325" w14:textId="77777777" w:rsidR="00F06720" w:rsidRPr="00F03B02" w:rsidRDefault="00F06720" w:rsidP="00B25C5C">
      <w:pPr>
        <w:spacing w:after="120"/>
        <w:contextualSpacing/>
        <w:jc w:val="both"/>
        <w:rPr>
          <w:rFonts w:ascii="Arial" w:hAnsi="Arial" w:cs="Arial"/>
        </w:rPr>
      </w:pPr>
    </w:p>
    <w:p w14:paraId="48049290" w14:textId="77777777" w:rsidR="006C60FF" w:rsidRPr="00F03B02" w:rsidRDefault="006C60FF" w:rsidP="00287E5F">
      <w:pPr>
        <w:spacing w:after="120"/>
        <w:contextualSpacing/>
        <w:rPr>
          <w:rFonts w:ascii="Arial" w:hAnsi="Arial" w:cs="Arial"/>
        </w:rPr>
      </w:pPr>
    </w:p>
    <w:p w14:paraId="72777467" w14:textId="77777777" w:rsidR="006C60FF" w:rsidRPr="00F03B02" w:rsidRDefault="006C60FF">
      <w:pPr>
        <w:rPr>
          <w:rFonts w:ascii="Arial" w:hAnsi="Arial" w:cs="Arial"/>
        </w:rPr>
      </w:pPr>
      <w:r w:rsidRPr="00F03B02">
        <w:rPr>
          <w:rFonts w:ascii="Arial" w:hAnsi="Arial" w:cs="Arial"/>
        </w:rPr>
        <w:br w:type="page"/>
      </w:r>
    </w:p>
    <w:p w14:paraId="47AEFFF6" w14:textId="77777777" w:rsidR="00D444A4" w:rsidRPr="00B25C5C" w:rsidRDefault="00D444A4" w:rsidP="006C60FF">
      <w:pPr>
        <w:rPr>
          <w:rFonts w:ascii="Arial" w:hAnsi="Arial" w:cs="Arial"/>
          <w:b/>
          <w:szCs w:val="22"/>
        </w:rPr>
      </w:pPr>
      <w:r w:rsidRPr="00B25C5C">
        <w:rPr>
          <w:rFonts w:ascii="Arial" w:hAnsi="Arial" w:cs="Arial"/>
          <w:b/>
          <w:szCs w:val="22"/>
        </w:rPr>
        <w:lastRenderedPageBreak/>
        <w:t>Figure 1 - New relativity of additional salaries between offices</w:t>
      </w:r>
    </w:p>
    <w:p w14:paraId="1F9E624D" w14:textId="77777777" w:rsidR="00494F85" w:rsidRPr="00F03B02" w:rsidRDefault="00494F85" w:rsidP="00287E5F">
      <w:pPr>
        <w:spacing w:after="120"/>
        <w:contextualSpacing/>
        <w:rPr>
          <w:rFonts w:ascii="Arial" w:hAnsi="Arial" w:cs="Arial"/>
          <w:b/>
          <w:sz w:val="22"/>
          <w:szCs w:val="22"/>
        </w:rPr>
      </w:pPr>
    </w:p>
    <w:tbl>
      <w:tblPr>
        <w:tblStyle w:val="TableGrid"/>
        <w:tblW w:w="0" w:type="auto"/>
        <w:tblLook w:val="04A0" w:firstRow="1" w:lastRow="0" w:firstColumn="1" w:lastColumn="0" w:noHBand="0" w:noVBand="1"/>
      </w:tblPr>
      <w:tblGrid>
        <w:gridCol w:w="1413"/>
        <w:gridCol w:w="6379"/>
        <w:gridCol w:w="1979"/>
      </w:tblGrid>
      <w:tr w:rsidR="00D444A4" w:rsidRPr="00F03B02" w14:paraId="3D5E9DF8" w14:textId="77777777" w:rsidTr="00A24FB1">
        <w:trPr>
          <w:cantSplit/>
          <w:trHeight w:val="851"/>
        </w:trPr>
        <w:tc>
          <w:tcPr>
            <w:tcW w:w="1413" w:type="dxa"/>
            <w:shd w:val="clear" w:color="auto" w:fill="649DE2"/>
            <w:vAlign w:val="center"/>
          </w:tcPr>
          <w:p w14:paraId="1A2DE6F6" w14:textId="77777777" w:rsidR="00D444A4" w:rsidRPr="00F03B02" w:rsidRDefault="00D444A4" w:rsidP="006C60FF">
            <w:pPr>
              <w:jc w:val="center"/>
              <w:rPr>
                <w:rFonts w:ascii="Arial" w:hAnsi="Arial" w:cs="Arial"/>
                <w:b/>
                <w:lang w:val="en-US"/>
              </w:rPr>
            </w:pPr>
            <w:r w:rsidRPr="00F03B02">
              <w:rPr>
                <w:rFonts w:ascii="Arial" w:hAnsi="Arial" w:cs="Arial"/>
                <w:b/>
                <w:lang w:val="en-US"/>
              </w:rPr>
              <w:t>Band</w:t>
            </w:r>
          </w:p>
        </w:tc>
        <w:tc>
          <w:tcPr>
            <w:tcW w:w="6379" w:type="dxa"/>
            <w:shd w:val="clear" w:color="auto" w:fill="649DE2"/>
            <w:vAlign w:val="center"/>
          </w:tcPr>
          <w:p w14:paraId="6E022DAD" w14:textId="77777777" w:rsidR="00D444A4" w:rsidRPr="00F03B02" w:rsidRDefault="00D444A4" w:rsidP="006C60FF">
            <w:pPr>
              <w:jc w:val="center"/>
              <w:rPr>
                <w:rFonts w:ascii="Arial" w:hAnsi="Arial" w:cs="Arial"/>
                <w:b/>
                <w:lang w:val="en-US"/>
              </w:rPr>
            </w:pPr>
            <w:r w:rsidRPr="00F03B02">
              <w:rPr>
                <w:rFonts w:ascii="Arial" w:hAnsi="Arial" w:cs="Arial"/>
                <w:b/>
                <w:lang w:val="en-US"/>
              </w:rPr>
              <w:t>Office</w:t>
            </w:r>
          </w:p>
        </w:tc>
        <w:tc>
          <w:tcPr>
            <w:tcW w:w="1979" w:type="dxa"/>
            <w:shd w:val="clear" w:color="auto" w:fill="649DE2"/>
            <w:vAlign w:val="center"/>
          </w:tcPr>
          <w:p w14:paraId="649F3C88" w14:textId="77777777" w:rsidR="00D444A4" w:rsidRPr="00F03B02" w:rsidRDefault="00D444A4" w:rsidP="006C60FF">
            <w:pPr>
              <w:jc w:val="center"/>
              <w:rPr>
                <w:rFonts w:ascii="Arial" w:hAnsi="Arial" w:cs="Arial"/>
                <w:b/>
                <w:lang w:val="en-US"/>
              </w:rPr>
            </w:pPr>
            <w:r w:rsidRPr="00F03B02">
              <w:rPr>
                <w:rFonts w:ascii="Arial" w:hAnsi="Arial" w:cs="Arial"/>
                <w:b/>
                <w:lang w:val="en-US"/>
              </w:rPr>
              <w:t>Relativity between offices</w:t>
            </w:r>
          </w:p>
          <w:p w14:paraId="4BE222D2" w14:textId="77777777" w:rsidR="00D444A4" w:rsidRPr="00F03B02" w:rsidRDefault="00D444A4" w:rsidP="006C60FF">
            <w:pPr>
              <w:jc w:val="center"/>
              <w:rPr>
                <w:rFonts w:ascii="Arial" w:hAnsi="Arial" w:cs="Arial"/>
                <w:b/>
                <w:lang w:val="en-US"/>
              </w:rPr>
            </w:pPr>
            <w:r w:rsidRPr="00F03B02">
              <w:rPr>
                <w:rFonts w:ascii="Arial" w:hAnsi="Arial" w:cs="Arial"/>
                <w:b/>
                <w:lang w:val="en-US"/>
              </w:rPr>
              <w:t>%</w:t>
            </w:r>
          </w:p>
        </w:tc>
      </w:tr>
      <w:tr w:rsidR="00D444A4" w:rsidRPr="00F03B02" w14:paraId="19C11BE7" w14:textId="77777777" w:rsidTr="00A24FB1">
        <w:trPr>
          <w:cantSplit/>
          <w:trHeight w:val="851"/>
        </w:trPr>
        <w:tc>
          <w:tcPr>
            <w:tcW w:w="1413" w:type="dxa"/>
            <w:vAlign w:val="center"/>
          </w:tcPr>
          <w:p w14:paraId="71DEF81A" w14:textId="77777777" w:rsidR="00D444A4" w:rsidRPr="00F03B02" w:rsidRDefault="00D444A4" w:rsidP="00A24FB1">
            <w:pPr>
              <w:jc w:val="center"/>
              <w:rPr>
                <w:rFonts w:ascii="Arial" w:hAnsi="Arial" w:cs="Arial"/>
                <w:b/>
                <w:lang w:val="en-US"/>
              </w:rPr>
            </w:pPr>
            <w:r w:rsidRPr="00F03B02">
              <w:rPr>
                <w:rFonts w:ascii="Arial" w:hAnsi="Arial" w:cs="Arial"/>
                <w:b/>
                <w:lang w:val="en-US"/>
              </w:rPr>
              <w:t>1</w:t>
            </w:r>
          </w:p>
        </w:tc>
        <w:tc>
          <w:tcPr>
            <w:tcW w:w="6379" w:type="dxa"/>
            <w:vAlign w:val="center"/>
          </w:tcPr>
          <w:p w14:paraId="11E0E274" w14:textId="77777777" w:rsidR="00D444A4" w:rsidRPr="00F03B02" w:rsidRDefault="00D444A4" w:rsidP="00A24FB1">
            <w:pPr>
              <w:rPr>
                <w:rFonts w:ascii="Arial" w:hAnsi="Arial" w:cs="Arial"/>
                <w:lang w:val="en-US"/>
              </w:rPr>
            </w:pPr>
            <w:r w:rsidRPr="00F03B02">
              <w:rPr>
                <w:rFonts w:ascii="Arial" w:hAnsi="Arial" w:cs="Arial"/>
                <w:lang w:val="en-US"/>
              </w:rPr>
              <w:t>Premier</w:t>
            </w:r>
          </w:p>
        </w:tc>
        <w:tc>
          <w:tcPr>
            <w:tcW w:w="1979" w:type="dxa"/>
            <w:vAlign w:val="center"/>
          </w:tcPr>
          <w:p w14:paraId="7B5C29EB" w14:textId="77777777" w:rsidR="00D444A4" w:rsidRPr="00F03B02" w:rsidRDefault="00494F85" w:rsidP="00A24FB1">
            <w:pPr>
              <w:jc w:val="center"/>
              <w:rPr>
                <w:rFonts w:ascii="Arial" w:hAnsi="Arial" w:cs="Arial"/>
                <w:lang w:val="en-US"/>
              </w:rPr>
            </w:pPr>
            <w:r w:rsidRPr="00F03B02">
              <w:rPr>
                <w:rFonts w:ascii="Arial" w:hAnsi="Arial" w:cs="Arial"/>
                <w:lang w:val="en-US"/>
              </w:rPr>
              <w:t>100.00</w:t>
            </w:r>
          </w:p>
        </w:tc>
      </w:tr>
      <w:tr w:rsidR="00D444A4" w:rsidRPr="00F03B02" w14:paraId="484CD5DE" w14:textId="77777777" w:rsidTr="00A24FB1">
        <w:trPr>
          <w:cantSplit/>
          <w:trHeight w:val="851"/>
        </w:trPr>
        <w:tc>
          <w:tcPr>
            <w:tcW w:w="1413" w:type="dxa"/>
            <w:vAlign w:val="center"/>
          </w:tcPr>
          <w:p w14:paraId="20582664" w14:textId="77777777" w:rsidR="00D444A4" w:rsidRPr="00F03B02" w:rsidRDefault="00D444A4" w:rsidP="00A24FB1">
            <w:pPr>
              <w:jc w:val="center"/>
              <w:rPr>
                <w:rFonts w:ascii="Arial" w:hAnsi="Arial" w:cs="Arial"/>
                <w:b/>
                <w:lang w:val="en-US"/>
              </w:rPr>
            </w:pPr>
            <w:r w:rsidRPr="00F03B02">
              <w:rPr>
                <w:rFonts w:ascii="Arial" w:hAnsi="Arial" w:cs="Arial"/>
                <w:b/>
                <w:lang w:val="en-US"/>
              </w:rPr>
              <w:t>2</w:t>
            </w:r>
          </w:p>
        </w:tc>
        <w:tc>
          <w:tcPr>
            <w:tcW w:w="6379" w:type="dxa"/>
            <w:vAlign w:val="center"/>
          </w:tcPr>
          <w:p w14:paraId="70C58A04" w14:textId="77777777" w:rsidR="00D444A4" w:rsidRPr="00F03B02" w:rsidRDefault="00D444A4" w:rsidP="00A24FB1">
            <w:pPr>
              <w:rPr>
                <w:rFonts w:ascii="Arial" w:hAnsi="Arial" w:cs="Arial"/>
                <w:lang w:val="en-US"/>
              </w:rPr>
            </w:pPr>
            <w:r w:rsidRPr="00F03B02">
              <w:rPr>
                <w:rFonts w:ascii="Arial" w:hAnsi="Arial" w:cs="Arial"/>
                <w:lang w:val="en-US"/>
              </w:rPr>
              <w:t>Deputy Premier</w:t>
            </w:r>
          </w:p>
        </w:tc>
        <w:tc>
          <w:tcPr>
            <w:tcW w:w="1979" w:type="dxa"/>
            <w:vAlign w:val="center"/>
          </w:tcPr>
          <w:p w14:paraId="654CA46D" w14:textId="77777777" w:rsidR="00D444A4" w:rsidRPr="00F03B02" w:rsidRDefault="00494F85" w:rsidP="00A24FB1">
            <w:pPr>
              <w:jc w:val="center"/>
              <w:rPr>
                <w:rFonts w:ascii="Arial" w:hAnsi="Arial" w:cs="Arial"/>
                <w:lang w:val="en-US"/>
              </w:rPr>
            </w:pPr>
            <w:r w:rsidRPr="00F03B02">
              <w:rPr>
                <w:rFonts w:ascii="Arial" w:hAnsi="Arial" w:cs="Arial"/>
                <w:lang w:val="en-US"/>
              </w:rPr>
              <w:t>80.0</w:t>
            </w:r>
          </w:p>
        </w:tc>
      </w:tr>
      <w:tr w:rsidR="00D444A4" w:rsidRPr="00F03B02" w14:paraId="0E30E1E9" w14:textId="77777777" w:rsidTr="00A24FB1">
        <w:trPr>
          <w:cantSplit/>
          <w:trHeight w:val="851"/>
        </w:trPr>
        <w:tc>
          <w:tcPr>
            <w:tcW w:w="1413" w:type="dxa"/>
            <w:vAlign w:val="center"/>
          </w:tcPr>
          <w:p w14:paraId="46B5918C" w14:textId="77777777" w:rsidR="00D444A4" w:rsidRPr="00F03B02" w:rsidRDefault="00D444A4" w:rsidP="00A24FB1">
            <w:pPr>
              <w:jc w:val="center"/>
              <w:rPr>
                <w:rFonts w:ascii="Arial" w:hAnsi="Arial" w:cs="Arial"/>
                <w:b/>
                <w:lang w:val="en-US"/>
              </w:rPr>
            </w:pPr>
            <w:r w:rsidRPr="00F03B02">
              <w:rPr>
                <w:rFonts w:ascii="Arial" w:hAnsi="Arial" w:cs="Arial"/>
                <w:b/>
                <w:lang w:val="en-US"/>
              </w:rPr>
              <w:t>3</w:t>
            </w:r>
          </w:p>
        </w:tc>
        <w:tc>
          <w:tcPr>
            <w:tcW w:w="6379" w:type="dxa"/>
            <w:vAlign w:val="center"/>
          </w:tcPr>
          <w:p w14:paraId="3E9D70EA" w14:textId="77777777" w:rsidR="00D444A4" w:rsidRPr="00F03B02" w:rsidRDefault="00D444A4" w:rsidP="00A24FB1">
            <w:pPr>
              <w:rPr>
                <w:rFonts w:ascii="Arial" w:hAnsi="Arial" w:cs="Arial"/>
                <w:lang w:val="en-US"/>
              </w:rPr>
            </w:pPr>
            <w:r w:rsidRPr="00F03B02">
              <w:rPr>
                <w:rFonts w:ascii="Arial" w:hAnsi="Arial" w:cs="Arial"/>
                <w:lang w:val="en-US"/>
              </w:rPr>
              <w:t>Minister and Leader of the House</w:t>
            </w:r>
          </w:p>
        </w:tc>
        <w:tc>
          <w:tcPr>
            <w:tcW w:w="1979" w:type="dxa"/>
            <w:vAlign w:val="center"/>
          </w:tcPr>
          <w:p w14:paraId="39019EAB" w14:textId="77777777" w:rsidR="00D444A4" w:rsidRPr="00F03B02" w:rsidRDefault="00494F85" w:rsidP="00A24FB1">
            <w:pPr>
              <w:jc w:val="center"/>
              <w:rPr>
                <w:rFonts w:ascii="Arial" w:hAnsi="Arial" w:cs="Arial"/>
                <w:lang w:val="en-US"/>
              </w:rPr>
            </w:pPr>
            <w:r w:rsidRPr="00F03B02">
              <w:rPr>
                <w:rFonts w:ascii="Arial" w:hAnsi="Arial" w:cs="Arial"/>
                <w:lang w:val="en-US"/>
              </w:rPr>
              <w:t>72.5</w:t>
            </w:r>
          </w:p>
        </w:tc>
      </w:tr>
      <w:tr w:rsidR="00D444A4" w:rsidRPr="00F03B02" w14:paraId="6EAABF50" w14:textId="77777777" w:rsidTr="00A24FB1">
        <w:trPr>
          <w:cantSplit/>
          <w:trHeight w:val="851"/>
        </w:trPr>
        <w:tc>
          <w:tcPr>
            <w:tcW w:w="1413" w:type="dxa"/>
            <w:vAlign w:val="center"/>
          </w:tcPr>
          <w:p w14:paraId="04576EAE" w14:textId="77777777" w:rsidR="00D444A4" w:rsidRPr="00F03B02" w:rsidRDefault="00D444A4" w:rsidP="00A24FB1">
            <w:pPr>
              <w:jc w:val="center"/>
              <w:rPr>
                <w:rFonts w:ascii="Arial" w:hAnsi="Arial" w:cs="Arial"/>
                <w:b/>
                <w:lang w:val="en-US"/>
              </w:rPr>
            </w:pPr>
            <w:r w:rsidRPr="00F03B02">
              <w:rPr>
                <w:rFonts w:ascii="Arial" w:hAnsi="Arial" w:cs="Arial"/>
                <w:b/>
                <w:lang w:val="en-US"/>
              </w:rPr>
              <w:t>4</w:t>
            </w:r>
          </w:p>
        </w:tc>
        <w:tc>
          <w:tcPr>
            <w:tcW w:w="6379" w:type="dxa"/>
            <w:vAlign w:val="center"/>
          </w:tcPr>
          <w:p w14:paraId="293DC42E" w14:textId="77777777" w:rsidR="00494F85" w:rsidRPr="00F03B02" w:rsidRDefault="00D444A4" w:rsidP="00A24FB1">
            <w:pPr>
              <w:pStyle w:val="ListParagraph"/>
              <w:numPr>
                <w:ilvl w:val="0"/>
                <w:numId w:val="20"/>
              </w:numPr>
              <w:ind w:left="459"/>
              <w:rPr>
                <w:rFonts w:ascii="Arial" w:hAnsi="Arial" w:cs="Arial"/>
                <w:lang w:val="en-US"/>
              </w:rPr>
            </w:pPr>
            <w:r w:rsidRPr="00F03B02">
              <w:rPr>
                <w:rFonts w:ascii="Arial" w:hAnsi="Arial" w:cs="Arial"/>
                <w:lang w:val="en-US"/>
              </w:rPr>
              <w:t>Minister</w:t>
            </w:r>
          </w:p>
          <w:p w14:paraId="419BF0AD" w14:textId="77777777" w:rsidR="00D444A4" w:rsidRPr="00F03B02" w:rsidRDefault="00D444A4" w:rsidP="00A24FB1">
            <w:pPr>
              <w:pStyle w:val="ListParagraph"/>
              <w:numPr>
                <w:ilvl w:val="0"/>
                <w:numId w:val="20"/>
              </w:numPr>
              <w:ind w:left="459"/>
              <w:rPr>
                <w:rFonts w:ascii="Arial" w:hAnsi="Arial" w:cs="Arial"/>
                <w:lang w:val="en-US"/>
              </w:rPr>
            </w:pPr>
            <w:r w:rsidRPr="00F03B02">
              <w:rPr>
                <w:rFonts w:ascii="Arial" w:hAnsi="Arial" w:cs="Arial"/>
                <w:lang w:val="en-US"/>
              </w:rPr>
              <w:t>Leader of the Opposition</w:t>
            </w:r>
          </w:p>
        </w:tc>
        <w:tc>
          <w:tcPr>
            <w:tcW w:w="1979" w:type="dxa"/>
            <w:vAlign w:val="center"/>
          </w:tcPr>
          <w:p w14:paraId="166D0021" w14:textId="77777777" w:rsidR="00D444A4" w:rsidRPr="00F03B02" w:rsidRDefault="00494F85" w:rsidP="00A24FB1">
            <w:pPr>
              <w:jc w:val="center"/>
              <w:rPr>
                <w:rFonts w:ascii="Arial" w:hAnsi="Arial" w:cs="Arial"/>
                <w:lang w:val="en-US"/>
              </w:rPr>
            </w:pPr>
            <w:r w:rsidRPr="00F03B02">
              <w:rPr>
                <w:rFonts w:ascii="Arial" w:hAnsi="Arial" w:cs="Arial"/>
                <w:lang w:val="en-US"/>
              </w:rPr>
              <w:t>70</w:t>
            </w:r>
            <w:r w:rsidR="006C60FF" w:rsidRPr="00F03B02">
              <w:rPr>
                <w:rFonts w:ascii="Arial" w:hAnsi="Arial" w:cs="Arial"/>
                <w:lang w:val="en-US"/>
              </w:rPr>
              <w:t>.0</w:t>
            </w:r>
          </w:p>
        </w:tc>
      </w:tr>
      <w:tr w:rsidR="00D444A4" w:rsidRPr="00F03B02" w14:paraId="65D90318" w14:textId="77777777" w:rsidTr="00A24FB1">
        <w:trPr>
          <w:cantSplit/>
          <w:trHeight w:val="851"/>
        </w:trPr>
        <w:tc>
          <w:tcPr>
            <w:tcW w:w="1413" w:type="dxa"/>
            <w:vAlign w:val="center"/>
          </w:tcPr>
          <w:p w14:paraId="277A4B49" w14:textId="77777777" w:rsidR="00D444A4" w:rsidRPr="00F03B02" w:rsidRDefault="00D444A4" w:rsidP="00A24FB1">
            <w:pPr>
              <w:jc w:val="center"/>
              <w:rPr>
                <w:rFonts w:ascii="Arial" w:hAnsi="Arial" w:cs="Arial"/>
                <w:b/>
                <w:lang w:val="en-US"/>
              </w:rPr>
            </w:pPr>
            <w:r w:rsidRPr="00F03B02">
              <w:rPr>
                <w:rFonts w:ascii="Arial" w:hAnsi="Arial" w:cs="Arial"/>
                <w:b/>
                <w:lang w:val="en-US"/>
              </w:rPr>
              <w:t>5</w:t>
            </w:r>
          </w:p>
        </w:tc>
        <w:tc>
          <w:tcPr>
            <w:tcW w:w="6379" w:type="dxa"/>
            <w:vAlign w:val="center"/>
          </w:tcPr>
          <w:p w14:paraId="19A706AA" w14:textId="77777777" w:rsidR="00494F85" w:rsidRPr="00F03B02" w:rsidRDefault="00D444A4" w:rsidP="00A24FB1">
            <w:pPr>
              <w:pStyle w:val="ListParagraph"/>
              <w:numPr>
                <w:ilvl w:val="0"/>
                <w:numId w:val="20"/>
              </w:numPr>
              <w:ind w:left="459"/>
              <w:rPr>
                <w:rFonts w:ascii="Arial" w:hAnsi="Arial" w:cs="Arial"/>
                <w:lang w:val="en-US"/>
              </w:rPr>
            </w:pPr>
            <w:r w:rsidRPr="00F03B02">
              <w:rPr>
                <w:rFonts w:ascii="Arial" w:hAnsi="Arial" w:cs="Arial"/>
                <w:lang w:val="en-US"/>
              </w:rPr>
              <w:t>Speaker</w:t>
            </w:r>
          </w:p>
          <w:p w14:paraId="37B764C0" w14:textId="77777777" w:rsidR="00D444A4" w:rsidRPr="00F03B02" w:rsidRDefault="00D444A4" w:rsidP="00A24FB1">
            <w:pPr>
              <w:pStyle w:val="ListParagraph"/>
              <w:numPr>
                <w:ilvl w:val="0"/>
                <w:numId w:val="20"/>
              </w:numPr>
              <w:ind w:left="459"/>
              <w:rPr>
                <w:rFonts w:ascii="Arial" w:hAnsi="Arial" w:cs="Arial"/>
                <w:lang w:val="en-US"/>
              </w:rPr>
            </w:pPr>
            <w:r w:rsidRPr="00F03B02">
              <w:rPr>
                <w:rFonts w:ascii="Arial" w:hAnsi="Arial" w:cs="Arial"/>
                <w:lang w:val="en-US"/>
              </w:rPr>
              <w:t>Assistant Minister and Leader of the House</w:t>
            </w:r>
          </w:p>
        </w:tc>
        <w:tc>
          <w:tcPr>
            <w:tcW w:w="1979" w:type="dxa"/>
            <w:vAlign w:val="center"/>
          </w:tcPr>
          <w:p w14:paraId="11A0EE0C" w14:textId="77777777" w:rsidR="00D444A4" w:rsidRPr="00F03B02" w:rsidRDefault="00494F85" w:rsidP="00A24FB1">
            <w:pPr>
              <w:jc w:val="center"/>
              <w:rPr>
                <w:rFonts w:ascii="Arial" w:hAnsi="Arial" w:cs="Arial"/>
                <w:lang w:val="en-US"/>
              </w:rPr>
            </w:pPr>
            <w:r w:rsidRPr="00F03B02">
              <w:rPr>
                <w:rFonts w:ascii="Arial" w:hAnsi="Arial" w:cs="Arial"/>
                <w:lang w:val="en-US"/>
              </w:rPr>
              <w:t>60</w:t>
            </w:r>
            <w:r w:rsidR="006C60FF" w:rsidRPr="00F03B02">
              <w:rPr>
                <w:rFonts w:ascii="Arial" w:hAnsi="Arial" w:cs="Arial"/>
                <w:lang w:val="en-US"/>
              </w:rPr>
              <w:t>.0</w:t>
            </w:r>
          </w:p>
        </w:tc>
      </w:tr>
      <w:tr w:rsidR="00A35842" w:rsidRPr="00F03B02" w14:paraId="5C5304B8" w14:textId="77777777" w:rsidTr="00A24FB1">
        <w:trPr>
          <w:cantSplit/>
          <w:trHeight w:val="851"/>
        </w:trPr>
        <w:tc>
          <w:tcPr>
            <w:tcW w:w="1413" w:type="dxa"/>
            <w:vAlign w:val="center"/>
          </w:tcPr>
          <w:p w14:paraId="5158AD86" w14:textId="77777777" w:rsidR="00A35842" w:rsidRPr="00500C8A" w:rsidRDefault="00A35842" w:rsidP="00A24FB1">
            <w:pPr>
              <w:jc w:val="center"/>
              <w:rPr>
                <w:rFonts w:ascii="Arial" w:hAnsi="Arial" w:cs="Arial"/>
                <w:b/>
                <w:lang w:val="en-US"/>
              </w:rPr>
            </w:pPr>
            <w:r w:rsidRPr="00500C8A">
              <w:rPr>
                <w:rFonts w:ascii="Arial" w:hAnsi="Arial" w:cs="Arial"/>
                <w:b/>
                <w:lang w:val="en-US"/>
              </w:rPr>
              <w:t>6</w:t>
            </w:r>
          </w:p>
        </w:tc>
        <w:tc>
          <w:tcPr>
            <w:tcW w:w="6379" w:type="dxa"/>
            <w:vAlign w:val="center"/>
          </w:tcPr>
          <w:p w14:paraId="5205C68B" w14:textId="77777777" w:rsidR="00A35842" w:rsidRPr="00500C8A" w:rsidRDefault="00A35842" w:rsidP="00A6234D">
            <w:pPr>
              <w:rPr>
                <w:rFonts w:ascii="Arial" w:hAnsi="Arial" w:cs="Arial"/>
                <w:lang w:val="en-US"/>
              </w:rPr>
            </w:pPr>
            <w:r w:rsidRPr="00500C8A">
              <w:rPr>
                <w:rFonts w:ascii="Arial" w:hAnsi="Arial" w:cs="Arial"/>
                <w:lang w:val="en-US"/>
              </w:rPr>
              <w:t>Leader of the House</w:t>
            </w:r>
          </w:p>
        </w:tc>
        <w:tc>
          <w:tcPr>
            <w:tcW w:w="1979" w:type="dxa"/>
            <w:vAlign w:val="center"/>
          </w:tcPr>
          <w:p w14:paraId="429EACAB" w14:textId="77777777" w:rsidR="00A35842" w:rsidRPr="00500C8A" w:rsidRDefault="00A35842" w:rsidP="00A24FB1">
            <w:pPr>
              <w:jc w:val="center"/>
              <w:rPr>
                <w:rFonts w:ascii="Arial" w:hAnsi="Arial" w:cs="Arial"/>
                <w:lang w:val="en-US"/>
              </w:rPr>
            </w:pPr>
            <w:r w:rsidRPr="00500C8A">
              <w:rPr>
                <w:rFonts w:ascii="Arial" w:hAnsi="Arial" w:cs="Arial"/>
                <w:lang w:val="en-US"/>
              </w:rPr>
              <w:t>50.0</w:t>
            </w:r>
          </w:p>
        </w:tc>
      </w:tr>
      <w:tr w:rsidR="00A35842" w:rsidRPr="00F03B02" w14:paraId="793CA218" w14:textId="77777777" w:rsidTr="00A24FB1">
        <w:trPr>
          <w:cantSplit/>
          <w:trHeight w:val="851"/>
        </w:trPr>
        <w:tc>
          <w:tcPr>
            <w:tcW w:w="1413" w:type="dxa"/>
            <w:vAlign w:val="center"/>
          </w:tcPr>
          <w:p w14:paraId="77E8F68F" w14:textId="4960B8A3" w:rsidR="00A35842" w:rsidRPr="00F03B02" w:rsidRDefault="00A35842" w:rsidP="00A24FB1">
            <w:pPr>
              <w:jc w:val="center"/>
              <w:rPr>
                <w:rFonts w:ascii="Arial" w:hAnsi="Arial" w:cs="Arial"/>
                <w:b/>
                <w:lang w:val="en-US"/>
              </w:rPr>
            </w:pPr>
            <w:r w:rsidRPr="00F03B02">
              <w:rPr>
                <w:rFonts w:ascii="Arial" w:hAnsi="Arial" w:cs="Arial"/>
                <w:b/>
                <w:lang w:val="en-US"/>
              </w:rPr>
              <w:t>7</w:t>
            </w:r>
          </w:p>
        </w:tc>
        <w:tc>
          <w:tcPr>
            <w:tcW w:w="6379" w:type="dxa"/>
            <w:vAlign w:val="center"/>
          </w:tcPr>
          <w:p w14:paraId="3F6FF180" w14:textId="4188F46A" w:rsidR="00A35842" w:rsidRPr="00F03B02" w:rsidRDefault="00A35842" w:rsidP="00A6234D">
            <w:pPr>
              <w:rPr>
                <w:rFonts w:ascii="Arial" w:hAnsi="Arial" w:cs="Arial"/>
                <w:lang w:val="en-US"/>
              </w:rPr>
            </w:pPr>
            <w:r w:rsidRPr="00F03B02">
              <w:rPr>
                <w:rFonts w:ascii="Arial" w:hAnsi="Arial" w:cs="Arial"/>
                <w:lang w:val="en-US"/>
              </w:rPr>
              <w:t>Deputy Leader of the Opposition</w:t>
            </w:r>
          </w:p>
        </w:tc>
        <w:tc>
          <w:tcPr>
            <w:tcW w:w="1979" w:type="dxa"/>
            <w:vAlign w:val="center"/>
          </w:tcPr>
          <w:p w14:paraId="449091F8" w14:textId="77777777" w:rsidR="00A35842" w:rsidRPr="00F03B02" w:rsidRDefault="00A35842" w:rsidP="00A24FB1">
            <w:pPr>
              <w:jc w:val="center"/>
              <w:rPr>
                <w:rFonts w:ascii="Arial" w:hAnsi="Arial" w:cs="Arial"/>
                <w:lang w:val="en-US"/>
              </w:rPr>
            </w:pPr>
            <w:r w:rsidRPr="00F03B02">
              <w:rPr>
                <w:rFonts w:ascii="Arial" w:hAnsi="Arial" w:cs="Arial"/>
                <w:lang w:val="en-US"/>
              </w:rPr>
              <w:t>40.0</w:t>
            </w:r>
          </w:p>
        </w:tc>
      </w:tr>
      <w:tr w:rsidR="00A35842" w:rsidRPr="00F03B02" w14:paraId="36E4B33D" w14:textId="77777777" w:rsidTr="00A24FB1">
        <w:trPr>
          <w:cantSplit/>
          <w:trHeight w:val="851"/>
        </w:trPr>
        <w:tc>
          <w:tcPr>
            <w:tcW w:w="1413" w:type="dxa"/>
            <w:vAlign w:val="center"/>
          </w:tcPr>
          <w:p w14:paraId="26236C1B" w14:textId="13E99782" w:rsidR="00A35842" w:rsidRPr="00F03B02" w:rsidRDefault="00A35842" w:rsidP="00A24FB1">
            <w:pPr>
              <w:jc w:val="center"/>
              <w:rPr>
                <w:rFonts w:ascii="Arial" w:hAnsi="Arial" w:cs="Arial"/>
                <w:b/>
                <w:lang w:val="en-US"/>
              </w:rPr>
            </w:pPr>
            <w:r w:rsidRPr="00F03B02">
              <w:rPr>
                <w:rFonts w:ascii="Arial" w:hAnsi="Arial" w:cs="Arial"/>
                <w:b/>
                <w:lang w:val="en-US"/>
              </w:rPr>
              <w:t>8</w:t>
            </w:r>
          </w:p>
        </w:tc>
        <w:tc>
          <w:tcPr>
            <w:tcW w:w="6379" w:type="dxa"/>
            <w:vAlign w:val="center"/>
          </w:tcPr>
          <w:p w14:paraId="37F7052D" w14:textId="77777777" w:rsidR="00A35842" w:rsidRPr="00F03B02" w:rsidRDefault="00A35842" w:rsidP="00A24FB1">
            <w:pPr>
              <w:pStyle w:val="ListParagraph"/>
              <w:numPr>
                <w:ilvl w:val="0"/>
                <w:numId w:val="20"/>
              </w:numPr>
              <w:ind w:left="459"/>
              <w:rPr>
                <w:rFonts w:ascii="Arial" w:hAnsi="Arial" w:cs="Arial"/>
                <w:lang w:val="en-US"/>
              </w:rPr>
            </w:pPr>
            <w:r w:rsidRPr="00F03B02">
              <w:rPr>
                <w:rFonts w:ascii="Arial" w:hAnsi="Arial" w:cs="Arial"/>
                <w:lang w:val="en-US"/>
              </w:rPr>
              <w:t>Chief government whip</w:t>
            </w:r>
          </w:p>
          <w:p w14:paraId="1A8E601F" w14:textId="77777777" w:rsidR="00A35842" w:rsidRPr="00F03B02" w:rsidRDefault="00A35842" w:rsidP="00A24FB1">
            <w:pPr>
              <w:pStyle w:val="ListParagraph"/>
              <w:numPr>
                <w:ilvl w:val="0"/>
                <w:numId w:val="20"/>
              </w:numPr>
              <w:ind w:left="459"/>
              <w:rPr>
                <w:rFonts w:ascii="Arial" w:hAnsi="Arial" w:cs="Arial"/>
                <w:lang w:val="en-US"/>
              </w:rPr>
            </w:pPr>
            <w:r w:rsidRPr="00F03B02">
              <w:rPr>
                <w:rFonts w:ascii="Arial" w:hAnsi="Arial" w:cs="Arial"/>
                <w:lang w:val="en-US"/>
              </w:rPr>
              <w:t>Deputy Speaker</w:t>
            </w:r>
          </w:p>
          <w:p w14:paraId="630A57C2" w14:textId="77777777" w:rsidR="00A35842" w:rsidRPr="00F03B02" w:rsidRDefault="00A35842" w:rsidP="00A24FB1">
            <w:pPr>
              <w:pStyle w:val="ListParagraph"/>
              <w:numPr>
                <w:ilvl w:val="0"/>
                <w:numId w:val="20"/>
              </w:numPr>
              <w:ind w:left="459"/>
              <w:rPr>
                <w:rFonts w:ascii="Arial" w:hAnsi="Arial" w:cs="Arial"/>
                <w:lang w:val="en-US"/>
              </w:rPr>
            </w:pPr>
            <w:r w:rsidRPr="00F03B02">
              <w:rPr>
                <w:rFonts w:ascii="Arial" w:hAnsi="Arial" w:cs="Arial"/>
                <w:lang w:val="en-US"/>
              </w:rPr>
              <w:t>Manager of Opposition Business</w:t>
            </w:r>
          </w:p>
          <w:p w14:paraId="1ED586CB" w14:textId="77777777" w:rsidR="00A35842" w:rsidRPr="00F03B02" w:rsidRDefault="00A35842" w:rsidP="00A24FB1">
            <w:pPr>
              <w:pStyle w:val="ListParagraph"/>
              <w:numPr>
                <w:ilvl w:val="0"/>
                <w:numId w:val="20"/>
              </w:numPr>
              <w:ind w:left="459"/>
              <w:rPr>
                <w:rFonts w:ascii="Arial" w:hAnsi="Arial" w:cs="Arial"/>
                <w:lang w:val="en-US"/>
              </w:rPr>
            </w:pPr>
            <w:r w:rsidRPr="00F03B02">
              <w:rPr>
                <w:rFonts w:ascii="Arial" w:hAnsi="Arial" w:cs="Arial"/>
                <w:lang w:val="en-US"/>
              </w:rPr>
              <w:t>Assistant Minister</w:t>
            </w:r>
          </w:p>
        </w:tc>
        <w:tc>
          <w:tcPr>
            <w:tcW w:w="1979" w:type="dxa"/>
            <w:vAlign w:val="center"/>
          </w:tcPr>
          <w:p w14:paraId="00A0E102" w14:textId="77777777" w:rsidR="00A35842" w:rsidRPr="00F03B02" w:rsidRDefault="00A35842" w:rsidP="00A24FB1">
            <w:pPr>
              <w:jc w:val="center"/>
              <w:rPr>
                <w:rFonts w:ascii="Arial" w:hAnsi="Arial" w:cs="Arial"/>
                <w:lang w:val="en-US"/>
              </w:rPr>
            </w:pPr>
            <w:r w:rsidRPr="00F03B02">
              <w:rPr>
                <w:rFonts w:ascii="Arial" w:hAnsi="Arial" w:cs="Arial"/>
                <w:lang w:val="en-US"/>
              </w:rPr>
              <w:t>35.0</w:t>
            </w:r>
          </w:p>
        </w:tc>
      </w:tr>
      <w:tr w:rsidR="00A35842" w:rsidRPr="00F03B02" w14:paraId="258CF571" w14:textId="77777777" w:rsidTr="00A24FB1">
        <w:trPr>
          <w:cantSplit/>
          <w:trHeight w:val="851"/>
        </w:trPr>
        <w:tc>
          <w:tcPr>
            <w:tcW w:w="1413" w:type="dxa"/>
            <w:vAlign w:val="center"/>
          </w:tcPr>
          <w:p w14:paraId="7EBCF6C3" w14:textId="036606DC" w:rsidR="00A35842" w:rsidRPr="00F03B02" w:rsidRDefault="00A35842" w:rsidP="00A24FB1">
            <w:pPr>
              <w:jc w:val="center"/>
              <w:rPr>
                <w:rFonts w:ascii="Arial" w:hAnsi="Arial" w:cs="Arial"/>
                <w:b/>
                <w:lang w:val="en-US"/>
              </w:rPr>
            </w:pPr>
            <w:r w:rsidRPr="00F03B02">
              <w:rPr>
                <w:rFonts w:ascii="Arial" w:hAnsi="Arial" w:cs="Arial"/>
                <w:b/>
                <w:lang w:val="en-US"/>
              </w:rPr>
              <w:t>9</w:t>
            </w:r>
          </w:p>
        </w:tc>
        <w:tc>
          <w:tcPr>
            <w:tcW w:w="6379" w:type="dxa"/>
            <w:vAlign w:val="center"/>
          </w:tcPr>
          <w:p w14:paraId="325386B5" w14:textId="77777777" w:rsidR="00A35842" w:rsidRPr="00F03B02" w:rsidRDefault="00A35842" w:rsidP="00A24FB1">
            <w:pPr>
              <w:pStyle w:val="ListParagraph"/>
              <w:numPr>
                <w:ilvl w:val="0"/>
                <w:numId w:val="20"/>
              </w:numPr>
              <w:ind w:left="459"/>
              <w:rPr>
                <w:rFonts w:ascii="Arial" w:hAnsi="Arial" w:cs="Arial"/>
                <w:lang w:val="en-US"/>
              </w:rPr>
            </w:pPr>
            <w:r w:rsidRPr="00F03B02">
              <w:rPr>
                <w:rFonts w:ascii="Arial" w:hAnsi="Arial" w:cs="Arial"/>
                <w:lang w:val="en-US"/>
              </w:rPr>
              <w:t>Opposition Spokesperson</w:t>
            </w:r>
          </w:p>
          <w:p w14:paraId="4963AEF0" w14:textId="77777777" w:rsidR="00A35842" w:rsidRPr="00F03B02" w:rsidRDefault="00A35842" w:rsidP="00A24FB1">
            <w:pPr>
              <w:pStyle w:val="ListParagraph"/>
              <w:numPr>
                <w:ilvl w:val="0"/>
                <w:numId w:val="20"/>
              </w:numPr>
              <w:ind w:left="459"/>
              <w:rPr>
                <w:rFonts w:ascii="Arial" w:hAnsi="Arial" w:cs="Arial"/>
                <w:lang w:val="en-US"/>
              </w:rPr>
            </w:pPr>
            <w:r w:rsidRPr="00F03B02">
              <w:rPr>
                <w:rFonts w:ascii="Arial" w:hAnsi="Arial" w:cs="Arial"/>
                <w:lang w:val="en-US"/>
              </w:rPr>
              <w:t>Leader in the Assembly of a recognised political party, other than the Leader or Deputy Leader of the Opposition</w:t>
            </w:r>
          </w:p>
          <w:p w14:paraId="103AF738" w14:textId="14735322" w:rsidR="00A35842" w:rsidRPr="00500C8A" w:rsidRDefault="00A35842" w:rsidP="00A24FB1">
            <w:pPr>
              <w:pStyle w:val="ListParagraph"/>
              <w:numPr>
                <w:ilvl w:val="0"/>
                <w:numId w:val="20"/>
              </w:numPr>
              <w:ind w:left="459"/>
              <w:rPr>
                <w:rFonts w:ascii="Arial" w:hAnsi="Arial" w:cs="Arial"/>
                <w:b/>
                <w:lang w:val="en-US"/>
              </w:rPr>
            </w:pPr>
            <w:r w:rsidRPr="00500C8A">
              <w:rPr>
                <w:rFonts w:ascii="Arial" w:hAnsi="Arial" w:cs="Arial"/>
                <w:lang w:val="en-US"/>
              </w:rPr>
              <w:t>Chairperson of a committee</w:t>
            </w:r>
            <w:r w:rsidR="00500C8A" w:rsidRPr="00500C8A">
              <w:rPr>
                <w:rFonts w:ascii="Arial" w:hAnsi="Arial" w:cs="Arial"/>
                <w:b/>
                <w:lang w:val="en-US"/>
              </w:rPr>
              <w:t xml:space="preserve"> (including a select committee)</w:t>
            </w:r>
          </w:p>
        </w:tc>
        <w:tc>
          <w:tcPr>
            <w:tcW w:w="1979" w:type="dxa"/>
            <w:vAlign w:val="center"/>
          </w:tcPr>
          <w:p w14:paraId="412AE481" w14:textId="77777777" w:rsidR="00A35842" w:rsidRPr="00F03B02" w:rsidRDefault="00A35842" w:rsidP="00A24FB1">
            <w:pPr>
              <w:jc w:val="center"/>
              <w:rPr>
                <w:rFonts w:ascii="Arial" w:hAnsi="Arial" w:cs="Arial"/>
                <w:lang w:val="en-US"/>
              </w:rPr>
            </w:pPr>
            <w:r w:rsidRPr="00F03B02">
              <w:rPr>
                <w:rFonts w:ascii="Arial" w:hAnsi="Arial" w:cs="Arial"/>
                <w:lang w:val="en-US"/>
              </w:rPr>
              <w:t>25.0</w:t>
            </w:r>
          </w:p>
        </w:tc>
      </w:tr>
      <w:tr w:rsidR="00A35842" w:rsidRPr="00F03B02" w14:paraId="2A876335" w14:textId="77777777" w:rsidTr="00A24FB1">
        <w:trPr>
          <w:cantSplit/>
          <w:trHeight w:val="851"/>
        </w:trPr>
        <w:tc>
          <w:tcPr>
            <w:tcW w:w="1413" w:type="dxa"/>
            <w:vAlign w:val="center"/>
          </w:tcPr>
          <w:p w14:paraId="2BB0BBF4" w14:textId="7C21D4F9" w:rsidR="00A35842" w:rsidRPr="00F03B02" w:rsidRDefault="00A35842" w:rsidP="00A24FB1">
            <w:pPr>
              <w:jc w:val="center"/>
              <w:rPr>
                <w:rFonts w:ascii="Arial" w:hAnsi="Arial" w:cs="Arial"/>
                <w:b/>
                <w:lang w:val="en-US"/>
              </w:rPr>
            </w:pPr>
            <w:r w:rsidRPr="00F03B02">
              <w:rPr>
                <w:rFonts w:ascii="Arial" w:hAnsi="Arial" w:cs="Arial"/>
                <w:b/>
                <w:lang w:val="en-US"/>
              </w:rPr>
              <w:t>10</w:t>
            </w:r>
          </w:p>
        </w:tc>
        <w:tc>
          <w:tcPr>
            <w:tcW w:w="6379" w:type="dxa"/>
            <w:vAlign w:val="center"/>
          </w:tcPr>
          <w:p w14:paraId="3627598E" w14:textId="77777777" w:rsidR="00A35842" w:rsidRPr="00F03B02" w:rsidRDefault="00A35842" w:rsidP="00A24FB1">
            <w:pPr>
              <w:pStyle w:val="ListParagraph"/>
              <w:numPr>
                <w:ilvl w:val="0"/>
                <w:numId w:val="20"/>
              </w:numPr>
              <w:ind w:left="459"/>
              <w:rPr>
                <w:rFonts w:ascii="Arial" w:hAnsi="Arial" w:cs="Arial"/>
                <w:lang w:val="en-US"/>
              </w:rPr>
            </w:pPr>
            <w:r w:rsidRPr="00F03B02">
              <w:rPr>
                <w:rFonts w:ascii="Arial" w:hAnsi="Arial" w:cs="Arial"/>
                <w:lang w:val="en-US"/>
              </w:rPr>
              <w:t>Senior government whip</w:t>
            </w:r>
          </w:p>
          <w:p w14:paraId="1EA3753A" w14:textId="77777777" w:rsidR="00A35842" w:rsidRPr="00F03B02" w:rsidRDefault="00A35842" w:rsidP="00A24FB1">
            <w:pPr>
              <w:pStyle w:val="ListParagraph"/>
              <w:numPr>
                <w:ilvl w:val="0"/>
                <w:numId w:val="20"/>
              </w:numPr>
              <w:ind w:left="459"/>
              <w:rPr>
                <w:rFonts w:ascii="Arial" w:hAnsi="Arial" w:cs="Arial"/>
                <w:lang w:val="en-US"/>
              </w:rPr>
            </w:pPr>
            <w:r w:rsidRPr="00F03B02">
              <w:rPr>
                <w:rFonts w:ascii="Arial" w:hAnsi="Arial" w:cs="Arial"/>
                <w:lang w:val="en-US"/>
              </w:rPr>
              <w:t>Opposition whip</w:t>
            </w:r>
          </w:p>
        </w:tc>
        <w:tc>
          <w:tcPr>
            <w:tcW w:w="1979" w:type="dxa"/>
            <w:vAlign w:val="center"/>
          </w:tcPr>
          <w:p w14:paraId="7FD50756" w14:textId="77777777" w:rsidR="00A35842" w:rsidRPr="00F03B02" w:rsidRDefault="00A35842" w:rsidP="00A24FB1">
            <w:pPr>
              <w:jc w:val="center"/>
              <w:rPr>
                <w:rFonts w:ascii="Arial" w:hAnsi="Arial" w:cs="Arial"/>
                <w:lang w:val="en-US"/>
              </w:rPr>
            </w:pPr>
            <w:r w:rsidRPr="00F03B02">
              <w:rPr>
                <w:rFonts w:ascii="Arial" w:hAnsi="Arial" w:cs="Arial"/>
                <w:lang w:val="en-US"/>
              </w:rPr>
              <w:t>15.0</w:t>
            </w:r>
          </w:p>
        </w:tc>
      </w:tr>
      <w:tr w:rsidR="00A35842" w:rsidRPr="00F03B02" w14:paraId="500A8FF2" w14:textId="77777777" w:rsidTr="00A24FB1">
        <w:trPr>
          <w:cantSplit/>
          <w:trHeight w:val="851"/>
        </w:trPr>
        <w:tc>
          <w:tcPr>
            <w:tcW w:w="1413" w:type="dxa"/>
            <w:vAlign w:val="center"/>
          </w:tcPr>
          <w:p w14:paraId="26F5B090" w14:textId="38F4575C" w:rsidR="00A35842" w:rsidRPr="00F03B02" w:rsidRDefault="00A35842" w:rsidP="00A24FB1">
            <w:pPr>
              <w:jc w:val="center"/>
              <w:rPr>
                <w:rFonts w:ascii="Arial" w:hAnsi="Arial" w:cs="Arial"/>
                <w:b/>
                <w:lang w:val="en-US"/>
              </w:rPr>
            </w:pPr>
            <w:r w:rsidRPr="00F03B02">
              <w:rPr>
                <w:rFonts w:ascii="Arial" w:hAnsi="Arial" w:cs="Arial"/>
                <w:b/>
                <w:lang w:val="en-US"/>
              </w:rPr>
              <w:t>11</w:t>
            </w:r>
          </w:p>
        </w:tc>
        <w:tc>
          <w:tcPr>
            <w:tcW w:w="6379" w:type="dxa"/>
            <w:vAlign w:val="center"/>
          </w:tcPr>
          <w:p w14:paraId="3A8342A7" w14:textId="77777777" w:rsidR="00A35842" w:rsidRPr="00F03B02" w:rsidRDefault="00A35842" w:rsidP="00A24FB1">
            <w:pPr>
              <w:pStyle w:val="ListParagraph"/>
              <w:numPr>
                <w:ilvl w:val="0"/>
                <w:numId w:val="20"/>
              </w:numPr>
              <w:ind w:left="459"/>
              <w:rPr>
                <w:rFonts w:ascii="Arial" w:hAnsi="Arial" w:cs="Arial"/>
                <w:lang w:val="en-US"/>
              </w:rPr>
            </w:pPr>
            <w:r w:rsidRPr="00F03B02">
              <w:rPr>
                <w:rFonts w:ascii="Arial" w:hAnsi="Arial" w:cs="Arial"/>
                <w:lang w:val="en-US"/>
              </w:rPr>
              <w:t>Government deputy whip</w:t>
            </w:r>
          </w:p>
          <w:p w14:paraId="58A0DF4D" w14:textId="77777777" w:rsidR="00A35842" w:rsidRPr="00F03B02" w:rsidRDefault="00A35842" w:rsidP="00A24FB1">
            <w:pPr>
              <w:pStyle w:val="ListParagraph"/>
              <w:numPr>
                <w:ilvl w:val="0"/>
                <w:numId w:val="20"/>
              </w:numPr>
              <w:ind w:left="459"/>
              <w:rPr>
                <w:rFonts w:ascii="Arial" w:hAnsi="Arial" w:cs="Arial"/>
                <w:lang w:val="en-US"/>
              </w:rPr>
            </w:pPr>
            <w:r w:rsidRPr="00F03B02">
              <w:rPr>
                <w:rFonts w:ascii="Arial" w:hAnsi="Arial" w:cs="Arial"/>
                <w:lang w:val="en-US"/>
              </w:rPr>
              <w:t>Deputy Opposition whip</w:t>
            </w:r>
          </w:p>
        </w:tc>
        <w:tc>
          <w:tcPr>
            <w:tcW w:w="1979" w:type="dxa"/>
            <w:vAlign w:val="center"/>
          </w:tcPr>
          <w:p w14:paraId="2EA3769F" w14:textId="77777777" w:rsidR="00A35842" w:rsidRPr="00F03B02" w:rsidRDefault="00A35842" w:rsidP="00A24FB1">
            <w:pPr>
              <w:jc w:val="center"/>
              <w:rPr>
                <w:rFonts w:ascii="Arial" w:hAnsi="Arial" w:cs="Arial"/>
                <w:lang w:val="en-US"/>
              </w:rPr>
            </w:pPr>
            <w:r w:rsidRPr="00F03B02">
              <w:rPr>
                <w:rFonts w:ascii="Arial" w:hAnsi="Arial" w:cs="Arial"/>
                <w:lang w:val="en-US"/>
              </w:rPr>
              <w:t>12.5</w:t>
            </w:r>
          </w:p>
        </w:tc>
      </w:tr>
      <w:tr w:rsidR="00A35842" w:rsidRPr="00F03B02" w14:paraId="67CC08D3" w14:textId="77777777" w:rsidTr="00A24FB1">
        <w:trPr>
          <w:cantSplit/>
          <w:trHeight w:val="851"/>
        </w:trPr>
        <w:tc>
          <w:tcPr>
            <w:tcW w:w="1413" w:type="dxa"/>
            <w:vAlign w:val="center"/>
          </w:tcPr>
          <w:p w14:paraId="40411D1E" w14:textId="10C8247D" w:rsidR="00A35842" w:rsidRPr="00F03B02" w:rsidRDefault="00A35842" w:rsidP="00A24FB1">
            <w:pPr>
              <w:jc w:val="center"/>
              <w:rPr>
                <w:rFonts w:ascii="Arial" w:hAnsi="Arial" w:cs="Arial"/>
                <w:b/>
                <w:lang w:val="en-US"/>
              </w:rPr>
            </w:pPr>
            <w:r w:rsidRPr="00F03B02">
              <w:rPr>
                <w:rFonts w:ascii="Arial" w:hAnsi="Arial" w:cs="Arial"/>
                <w:b/>
                <w:lang w:val="en-US"/>
              </w:rPr>
              <w:t>12</w:t>
            </w:r>
          </w:p>
        </w:tc>
        <w:tc>
          <w:tcPr>
            <w:tcW w:w="6379" w:type="dxa"/>
            <w:vAlign w:val="center"/>
          </w:tcPr>
          <w:p w14:paraId="1D06D873" w14:textId="7347A5C2" w:rsidR="00A35842" w:rsidRPr="00F03B02" w:rsidRDefault="00A35842" w:rsidP="00A24FB1">
            <w:pPr>
              <w:rPr>
                <w:rFonts w:ascii="Arial" w:hAnsi="Arial" w:cs="Arial"/>
                <w:lang w:val="en-US"/>
              </w:rPr>
            </w:pPr>
            <w:r w:rsidRPr="00F03B02">
              <w:rPr>
                <w:rFonts w:ascii="Arial" w:hAnsi="Arial" w:cs="Arial"/>
                <w:lang w:val="en-US"/>
              </w:rPr>
              <w:t>Member of a committee</w:t>
            </w:r>
            <w:r w:rsidR="00500C8A">
              <w:rPr>
                <w:rFonts w:ascii="Arial" w:hAnsi="Arial" w:cs="Arial"/>
                <w:lang w:val="en-US"/>
              </w:rPr>
              <w:t xml:space="preserve"> </w:t>
            </w:r>
            <w:r w:rsidR="00500C8A" w:rsidRPr="00500C8A">
              <w:rPr>
                <w:rFonts w:ascii="Arial" w:hAnsi="Arial" w:cs="Arial"/>
                <w:b/>
                <w:lang w:val="en-US"/>
              </w:rPr>
              <w:t>(including a select committee)</w:t>
            </w:r>
          </w:p>
        </w:tc>
        <w:tc>
          <w:tcPr>
            <w:tcW w:w="1979" w:type="dxa"/>
            <w:vAlign w:val="center"/>
          </w:tcPr>
          <w:p w14:paraId="2AAA715F" w14:textId="77777777" w:rsidR="00A35842" w:rsidRPr="00F03B02" w:rsidRDefault="00A35842" w:rsidP="00A24FB1">
            <w:pPr>
              <w:jc w:val="center"/>
              <w:rPr>
                <w:rFonts w:ascii="Arial" w:hAnsi="Arial" w:cs="Arial"/>
                <w:lang w:val="en-US"/>
              </w:rPr>
            </w:pPr>
            <w:r w:rsidRPr="00F03B02">
              <w:rPr>
                <w:rFonts w:ascii="Arial" w:hAnsi="Arial" w:cs="Arial"/>
                <w:lang w:val="en-US"/>
              </w:rPr>
              <w:t>10.0</w:t>
            </w:r>
          </w:p>
        </w:tc>
      </w:tr>
    </w:tbl>
    <w:p w14:paraId="2FFD533F" w14:textId="77777777" w:rsidR="007316BA" w:rsidRPr="00F03B02" w:rsidRDefault="007316BA" w:rsidP="00E2676D">
      <w:pPr>
        <w:pStyle w:val="Title"/>
        <w:pBdr>
          <w:bottom w:val="single" w:sz="8" w:space="7" w:color="4F81BD"/>
        </w:pBdr>
        <w:rPr>
          <w:rFonts w:ascii="Arial" w:hAnsi="Arial" w:cs="Arial"/>
          <w:lang w:val="en-US"/>
        </w:rPr>
      </w:pPr>
      <w:r w:rsidRPr="00F03B02">
        <w:rPr>
          <w:rFonts w:ascii="Arial" w:hAnsi="Arial" w:cs="Arial"/>
          <w:lang w:val="en-US"/>
        </w:rPr>
        <w:lastRenderedPageBreak/>
        <w:t>Determination</w:t>
      </w:r>
    </w:p>
    <w:p w14:paraId="246F5495" w14:textId="5C7DA15D" w:rsidR="00FD0616" w:rsidRPr="00F03B02" w:rsidRDefault="00FD0616" w:rsidP="00B25C5C">
      <w:pPr>
        <w:jc w:val="both"/>
        <w:rPr>
          <w:rFonts w:ascii="Arial" w:hAnsi="Arial" w:cs="Arial"/>
          <w:bCs/>
        </w:rPr>
      </w:pPr>
      <w:r w:rsidRPr="00F03B02">
        <w:rPr>
          <w:rFonts w:ascii="Arial" w:hAnsi="Arial" w:cs="Arial"/>
          <w:bCs/>
        </w:rPr>
        <w:t>Any inconsistencies between earlier Tribunal Det</w:t>
      </w:r>
      <w:r w:rsidR="00B54786" w:rsidRPr="00F03B02">
        <w:rPr>
          <w:rFonts w:ascii="Arial" w:hAnsi="Arial" w:cs="Arial"/>
          <w:bCs/>
        </w:rPr>
        <w:t>erminations and Determination 1</w:t>
      </w:r>
      <w:r w:rsidR="00DC176A">
        <w:rPr>
          <w:rFonts w:ascii="Arial" w:hAnsi="Arial" w:cs="Arial"/>
          <w:bCs/>
        </w:rPr>
        <w:t>5</w:t>
      </w:r>
      <w:r w:rsidR="00292A76" w:rsidRPr="00F03B02">
        <w:rPr>
          <w:rFonts w:ascii="Arial" w:hAnsi="Arial" w:cs="Arial"/>
          <w:bCs/>
        </w:rPr>
        <w:t>/2017</w:t>
      </w:r>
      <w:r w:rsidRPr="00F03B02">
        <w:rPr>
          <w:rFonts w:ascii="Arial" w:hAnsi="Arial" w:cs="Arial"/>
          <w:bCs/>
        </w:rPr>
        <w:t xml:space="preserve"> are resolv</w:t>
      </w:r>
      <w:r w:rsidR="006D71D0" w:rsidRPr="00F03B02">
        <w:rPr>
          <w:rFonts w:ascii="Arial" w:hAnsi="Arial" w:cs="Arial"/>
          <w:bCs/>
        </w:rPr>
        <w:t xml:space="preserve">ed in favour of Determination </w:t>
      </w:r>
      <w:r w:rsidR="00292A76" w:rsidRPr="00F03B02">
        <w:rPr>
          <w:rFonts w:ascii="Arial" w:hAnsi="Arial" w:cs="Arial"/>
          <w:bCs/>
        </w:rPr>
        <w:t>1</w:t>
      </w:r>
      <w:r w:rsidR="00DC176A">
        <w:rPr>
          <w:rFonts w:ascii="Arial" w:hAnsi="Arial" w:cs="Arial"/>
          <w:bCs/>
        </w:rPr>
        <w:t>5</w:t>
      </w:r>
      <w:r w:rsidR="00292A76" w:rsidRPr="00F03B02">
        <w:rPr>
          <w:rFonts w:ascii="Arial" w:hAnsi="Arial" w:cs="Arial"/>
          <w:bCs/>
        </w:rPr>
        <w:t>/2017</w:t>
      </w:r>
      <w:r w:rsidRPr="00F03B02">
        <w:rPr>
          <w:rFonts w:ascii="Arial" w:hAnsi="Arial" w:cs="Arial"/>
          <w:bCs/>
        </w:rPr>
        <w:t>. Matters in earlier Determinations not addressed in this Determination are confirmed by the Tribunal and not amended.</w:t>
      </w:r>
    </w:p>
    <w:p w14:paraId="5E0C908C" w14:textId="77777777" w:rsidR="005021BB" w:rsidRPr="00F03B02" w:rsidRDefault="005021BB" w:rsidP="00B25C5C">
      <w:pPr>
        <w:pStyle w:val="Heading2"/>
        <w:spacing w:before="0" w:after="120"/>
        <w:jc w:val="both"/>
        <w:rPr>
          <w:rFonts w:ascii="Arial" w:hAnsi="Arial" w:cs="Arial"/>
          <w:sz w:val="24"/>
          <w:szCs w:val="24"/>
        </w:rPr>
      </w:pPr>
    </w:p>
    <w:p w14:paraId="23124272" w14:textId="60F5EF7D" w:rsidR="00924387" w:rsidRPr="00F03B02" w:rsidRDefault="00DC176A" w:rsidP="00B25C5C">
      <w:pPr>
        <w:pStyle w:val="Heading2"/>
        <w:spacing w:before="0" w:after="120"/>
        <w:jc w:val="both"/>
        <w:rPr>
          <w:rFonts w:ascii="Arial" w:hAnsi="Arial" w:cs="Arial"/>
          <w:sz w:val="24"/>
          <w:szCs w:val="24"/>
        </w:rPr>
      </w:pPr>
      <w:r>
        <w:rPr>
          <w:rFonts w:ascii="Arial" w:hAnsi="Arial" w:cs="Arial"/>
          <w:sz w:val="24"/>
          <w:szCs w:val="24"/>
        </w:rPr>
        <w:t xml:space="preserve">Additional salary of the Offices of Chair and Member of Select Committees </w:t>
      </w:r>
    </w:p>
    <w:p w14:paraId="283C824F" w14:textId="0131BC77" w:rsidR="00DA123D" w:rsidRDefault="00924387" w:rsidP="00B25C5C">
      <w:pPr>
        <w:spacing w:after="120"/>
        <w:jc w:val="both"/>
        <w:rPr>
          <w:rFonts w:ascii="Arial" w:hAnsi="Arial" w:cs="Arial"/>
          <w:bCs/>
        </w:rPr>
      </w:pPr>
      <w:r w:rsidRPr="00F03B02">
        <w:rPr>
          <w:rFonts w:ascii="Arial" w:hAnsi="Arial" w:cs="Arial"/>
          <w:bCs/>
        </w:rPr>
        <w:t>The Tribunal determines that</w:t>
      </w:r>
      <w:r w:rsidR="00DC176A">
        <w:rPr>
          <w:rFonts w:ascii="Arial" w:hAnsi="Arial" w:cs="Arial"/>
          <w:bCs/>
        </w:rPr>
        <w:t xml:space="preserve"> the additional salary payable to </w:t>
      </w:r>
      <w:r w:rsidR="0071135E">
        <w:rPr>
          <w:rFonts w:ascii="Arial" w:hAnsi="Arial" w:cs="Arial"/>
          <w:bCs/>
        </w:rPr>
        <w:t>the o</w:t>
      </w:r>
      <w:r w:rsidR="00A35842" w:rsidRPr="00F03B02">
        <w:rPr>
          <w:rFonts w:ascii="Arial" w:hAnsi="Arial" w:cs="Arial"/>
          <w:bCs/>
        </w:rPr>
        <w:t xml:space="preserve">ffice of </w:t>
      </w:r>
      <w:r w:rsidR="003429E6">
        <w:rPr>
          <w:rFonts w:ascii="Arial" w:hAnsi="Arial" w:cs="Arial"/>
          <w:bCs/>
        </w:rPr>
        <w:t>c</w:t>
      </w:r>
      <w:r w:rsidR="00DC176A">
        <w:rPr>
          <w:rFonts w:ascii="Arial" w:hAnsi="Arial" w:cs="Arial"/>
          <w:bCs/>
        </w:rPr>
        <w:t xml:space="preserve">hair of a </w:t>
      </w:r>
      <w:r w:rsidR="003429E6">
        <w:rPr>
          <w:rFonts w:ascii="Arial" w:hAnsi="Arial" w:cs="Arial"/>
          <w:bCs/>
        </w:rPr>
        <w:t>select c</w:t>
      </w:r>
      <w:r w:rsidR="00DC176A">
        <w:rPr>
          <w:rFonts w:ascii="Arial" w:hAnsi="Arial" w:cs="Arial"/>
          <w:bCs/>
        </w:rPr>
        <w:t>ommittee falls within band 9 of the existing relativities</w:t>
      </w:r>
      <w:r w:rsidR="00DA123D">
        <w:rPr>
          <w:rFonts w:ascii="Arial" w:hAnsi="Arial" w:cs="Arial"/>
          <w:bCs/>
        </w:rPr>
        <w:t xml:space="preserve"> and will be set at 25% </w:t>
      </w:r>
      <w:r w:rsidR="000E2B15">
        <w:rPr>
          <w:rFonts w:ascii="Arial" w:hAnsi="Arial" w:cs="Arial"/>
          <w:bCs/>
        </w:rPr>
        <w:t>of</w:t>
      </w:r>
      <w:r w:rsidR="00DA123D">
        <w:rPr>
          <w:rFonts w:ascii="Arial" w:hAnsi="Arial" w:cs="Arial"/>
          <w:bCs/>
        </w:rPr>
        <w:t xml:space="preserve"> the additional salary payable to the office of the Premier, effective from 15 September 2016. </w:t>
      </w:r>
    </w:p>
    <w:p w14:paraId="7D20548C" w14:textId="73B010C1" w:rsidR="0039026C" w:rsidRDefault="00DA123D" w:rsidP="00B25C5C">
      <w:pPr>
        <w:spacing w:after="120"/>
        <w:jc w:val="both"/>
        <w:rPr>
          <w:rFonts w:ascii="Arial" w:hAnsi="Arial" w:cs="Arial"/>
          <w:bCs/>
        </w:rPr>
      </w:pPr>
      <w:r>
        <w:rPr>
          <w:rFonts w:ascii="Arial" w:hAnsi="Arial" w:cs="Arial"/>
          <w:bCs/>
        </w:rPr>
        <w:t>The Tribunal</w:t>
      </w:r>
      <w:r w:rsidR="00DC176A">
        <w:rPr>
          <w:rFonts w:ascii="Arial" w:hAnsi="Arial" w:cs="Arial"/>
          <w:bCs/>
        </w:rPr>
        <w:t xml:space="preserve"> further determines that the additional salary payable to the office of member of a select committee falls within band 12 of the existing relativities</w:t>
      </w:r>
      <w:r>
        <w:rPr>
          <w:rFonts w:ascii="Arial" w:hAnsi="Arial" w:cs="Arial"/>
          <w:bCs/>
        </w:rPr>
        <w:t xml:space="preserve"> and will be set at 10% of the additional salary payable to the office of the Premier, e</w:t>
      </w:r>
      <w:r w:rsidR="0039026C">
        <w:rPr>
          <w:rFonts w:ascii="Arial" w:hAnsi="Arial" w:cs="Arial"/>
          <w:bCs/>
        </w:rPr>
        <w:t xml:space="preserve">ffective </w:t>
      </w:r>
      <w:r>
        <w:rPr>
          <w:rFonts w:ascii="Arial" w:hAnsi="Arial" w:cs="Arial"/>
          <w:bCs/>
        </w:rPr>
        <w:t xml:space="preserve">from </w:t>
      </w:r>
      <w:r w:rsidR="0039026C">
        <w:rPr>
          <w:rFonts w:ascii="Arial" w:hAnsi="Arial" w:cs="Arial"/>
          <w:bCs/>
        </w:rPr>
        <w:t xml:space="preserve">15 September 2016. </w:t>
      </w:r>
    </w:p>
    <w:p w14:paraId="0E364754" w14:textId="7982E8E4" w:rsidR="00A33A90" w:rsidRPr="009D0076" w:rsidRDefault="00B05160" w:rsidP="009D0076">
      <w:pPr>
        <w:spacing w:after="120"/>
        <w:rPr>
          <w:rFonts w:asciiTheme="majorHAnsi" w:hAnsiTheme="majorHAnsi"/>
        </w:rPr>
      </w:pPr>
      <w:r w:rsidRPr="009D0076">
        <w:rPr>
          <w:rFonts w:asciiTheme="majorHAnsi" w:hAnsiTheme="majorHAnsi"/>
          <w:noProof/>
          <w:lang w:eastAsia="en-AU"/>
        </w:rPr>
        <mc:AlternateContent>
          <mc:Choice Requires="wpg">
            <w:drawing>
              <wp:anchor distT="0" distB="0" distL="114300" distR="114300" simplePos="0" relativeHeight="251663360" behindDoc="0" locked="0" layoutInCell="1" allowOverlap="1" wp14:anchorId="44052E35" wp14:editId="0EF28FE9">
                <wp:simplePos x="0" y="0"/>
                <wp:positionH relativeFrom="margin">
                  <wp:posOffset>-62865</wp:posOffset>
                </wp:positionH>
                <wp:positionV relativeFrom="paragraph">
                  <wp:posOffset>957580</wp:posOffset>
                </wp:positionV>
                <wp:extent cx="6113780" cy="548640"/>
                <wp:effectExtent l="0" t="0" r="1270" b="3810"/>
                <wp:wrapSquare wrapText="bothSides"/>
                <wp:docPr id="4" name="Group 4"/>
                <wp:cNvGraphicFramePr/>
                <a:graphic xmlns:a="http://schemas.openxmlformats.org/drawingml/2006/main">
                  <a:graphicData uri="http://schemas.microsoft.com/office/word/2010/wordprocessingGroup">
                    <wpg:wgp>
                      <wpg:cNvGrpSpPr/>
                      <wpg:grpSpPr>
                        <a:xfrm>
                          <a:off x="0" y="0"/>
                          <a:ext cx="6113780" cy="548640"/>
                          <a:chOff x="-61336" y="-222736"/>
                          <a:chExt cx="5895819" cy="709427"/>
                        </a:xfrm>
                      </wpg:grpSpPr>
                      <wps:wsp>
                        <wps:cNvPr id="217" name="Text Box 2"/>
                        <wps:cNvSpPr txBox="1">
                          <a:spLocks noChangeArrowheads="1"/>
                        </wps:cNvSpPr>
                        <wps:spPr bwMode="auto">
                          <a:xfrm>
                            <a:off x="-61336" y="-206777"/>
                            <a:ext cx="1822450" cy="693420"/>
                          </a:xfrm>
                          <a:prstGeom prst="rect">
                            <a:avLst/>
                          </a:prstGeom>
                          <a:solidFill>
                            <a:srgbClr val="FFFFFF"/>
                          </a:solidFill>
                          <a:ln w="9525">
                            <a:noFill/>
                            <a:miter lim="800000"/>
                            <a:headEnd/>
                            <a:tailEnd/>
                          </a:ln>
                        </wps:spPr>
                        <wps:txbx>
                          <w:txbxContent>
                            <w:p w14:paraId="6A36DAC8" w14:textId="77777777" w:rsidR="00DA123D" w:rsidRPr="006A2E06" w:rsidRDefault="00DA123D">
                              <w:pPr>
                                <w:rPr>
                                  <w:rFonts w:ascii="Arial" w:hAnsi="Arial" w:cs="Arial"/>
                                </w:rPr>
                              </w:pPr>
                              <w:r w:rsidRPr="006A2E06">
                                <w:rPr>
                                  <w:rFonts w:ascii="Arial" w:hAnsi="Arial" w:cs="Arial"/>
                                </w:rPr>
                                <w:t>Professor Anne Tiernan</w:t>
                              </w:r>
                            </w:p>
                            <w:p w14:paraId="55740C10" w14:textId="77777777" w:rsidR="00DA123D" w:rsidRPr="006A2E06" w:rsidRDefault="00DA123D">
                              <w:pPr>
                                <w:rPr>
                                  <w:rFonts w:ascii="Arial" w:hAnsi="Arial" w:cs="Arial"/>
                                </w:rPr>
                              </w:pPr>
                              <w:r w:rsidRPr="006A2E06">
                                <w:rPr>
                                  <w:rFonts w:ascii="Arial" w:hAnsi="Arial" w:cs="Arial"/>
                                </w:rPr>
                                <w:t>Chairperson</w:t>
                              </w:r>
                            </w:p>
                          </w:txbxContent>
                        </wps:txbx>
                        <wps:bodyPr rot="0" vert="horz" wrap="square" lIns="91440" tIns="45720" rIns="91440" bIns="45720" anchor="t" anchorCtr="0">
                          <a:noAutofit/>
                        </wps:bodyPr>
                      </wps:wsp>
                      <wps:wsp>
                        <wps:cNvPr id="1" name="Text Box 2"/>
                        <wps:cNvSpPr txBox="1">
                          <a:spLocks noChangeArrowheads="1"/>
                        </wps:cNvSpPr>
                        <wps:spPr bwMode="auto">
                          <a:xfrm>
                            <a:off x="1968142" y="-206729"/>
                            <a:ext cx="1711626" cy="693420"/>
                          </a:xfrm>
                          <a:prstGeom prst="rect">
                            <a:avLst/>
                          </a:prstGeom>
                          <a:solidFill>
                            <a:srgbClr val="FFFFFF"/>
                          </a:solidFill>
                          <a:ln w="9525">
                            <a:noFill/>
                            <a:miter lim="800000"/>
                            <a:headEnd/>
                            <a:tailEnd/>
                          </a:ln>
                        </wps:spPr>
                        <wps:txbx>
                          <w:txbxContent>
                            <w:p w14:paraId="6CC69E8B" w14:textId="77777777" w:rsidR="00DA123D" w:rsidRPr="006A2E06" w:rsidRDefault="00DA123D" w:rsidP="00A33A90">
                              <w:pPr>
                                <w:rPr>
                                  <w:rFonts w:ascii="Arial" w:hAnsi="Arial" w:cs="Arial"/>
                                </w:rPr>
                              </w:pPr>
                              <w:r w:rsidRPr="006A2E06">
                                <w:rPr>
                                  <w:rFonts w:ascii="Arial" w:hAnsi="Arial" w:cs="Arial"/>
                                </w:rPr>
                                <w:t>Mr Michael Noud</w:t>
                              </w:r>
                            </w:p>
                            <w:p w14:paraId="1ABD2E90" w14:textId="77777777" w:rsidR="00DA123D" w:rsidRPr="006A2E06" w:rsidRDefault="00DA123D" w:rsidP="00A33A90">
                              <w:pPr>
                                <w:rPr>
                                  <w:rFonts w:ascii="Arial" w:hAnsi="Arial" w:cs="Arial"/>
                                </w:rPr>
                              </w:pPr>
                              <w:r w:rsidRPr="006A2E06">
                                <w:rPr>
                                  <w:rFonts w:ascii="Arial" w:hAnsi="Arial" w:cs="Arial"/>
                                </w:rPr>
                                <w:t xml:space="preserve">Member </w:t>
                              </w:r>
                            </w:p>
                          </w:txbxContent>
                        </wps:txbx>
                        <wps:bodyPr rot="0" vert="horz" wrap="square" lIns="91440" tIns="45720" rIns="91440" bIns="45720" anchor="t" anchorCtr="0">
                          <a:noAutofit/>
                        </wps:bodyPr>
                      </wps:wsp>
                      <wps:wsp>
                        <wps:cNvPr id="3" name="Text Box 2"/>
                        <wps:cNvSpPr txBox="1">
                          <a:spLocks noChangeArrowheads="1"/>
                        </wps:cNvSpPr>
                        <wps:spPr bwMode="auto">
                          <a:xfrm>
                            <a:off x="4099605" y="-222736"/>
                            <a:ext cx="1734878" cy="693420"/>
                          </a:xfrm>
                          <a:prstGeom prst="rect">
                            <a:avLst/>
                          </a:prstGeom>
                          <a:solidFill>
                            <a:srgbClr val="FFFFFF"/>
                          </a:solidFill>
                          <a:ln w="9525">
                            <a:noFill/>
                            <a:miter lim="800000"/>
                            <a:headEnd/>
                            <a:tailEnd/>
                          </a:ln>
                        </wps:spPr>
                        <wps:txbx>
                          <w:txbxContent>
                            <w:p w14:paraId="0ABEA801" w14:textId="77777777" w:rsidR="00DA123D" w:rsidRPr="006A2E06" w:rsidRDefault="00DA123D" w:rsidP="00A33A90">
                              <w:pPr>
                                <w:rPr>
                                  <w:rFonts w:ascii="Arial" w:hAnsi="Arial" w:cs="Arial"/>
                                </w:rPr>
                              </w:pPr>
                              <w:r w:rsidRPr="006A2E06">
                                <w:rPr>
                                  <w:rFonts w:ascii="Arial" w:hAnsi="Arial" w:cs="Arial"/>
                                </w:rPr>
                                <w:t>Ms Karyn Walsh</w:t>
                              </w:r>
                            </w:p>
                            <w:p w14:paraId="4F3FE223" w14:textId="77777777" w:rsidR="00DA123D" w:rsidRPr="006A2E06" w:rsidRDefault="00DA123D" w:rsidP="00A33A90">
                              <w:pPr>
                                <w:rPr>
                                  <w:rFonts w:ascii="Arial" w:hAnsi="Arial" w:cs="Arial"/>
                                </w:rPr>
                              </w:pPr>
                              <w:r w:rsidRPr="006A2E06">
                                <w:rPr>
                                  <w:rFonts w:ascii="Arial" w:hAnsi="Arial" w:cs="Arial"/>
                                </w:rPr>
                                <w:t xml:space="preserve">Member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4052E35" id="Group 4" o:spid="_x0000_s1026" style="position:absolute;margin-left:-4.95pt;margin-top:75.4pt;width:481.4pt;height:43.2pt;z-index:251663360;mso-position-horizontal-relative:margin;mso-width-relative:margin;mso-height-relative:margin" coordorigin="-613,-2227" coordsize="58958,7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">
                <v:shapetype id="_x0000_t202" coordsize="21600,21600" o:spt="202" path="m,l,21600r21600,l21600,xe">
                  <v:stroke joinstyle="miter"/>
                  <v:path gradientshapeok="t" o:connecttype="rect"/>
                </v:shapetype>
                <v:shape id="Text Box 2" o:spid="_x0000_s1027" type="#_x0000_t202" style="position:absolute;left:-613;top:-2067;width:18224;height:6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14:paraId="6A36DAC8" w14:textId="77777777" w:rsidR="00DA123D" w:rsidRPr="006A2E06" w:rsidRDefault="00DA123D">
                        <w:pPr>
                          <w:rPr>
                            <w:rFonts w:ascii="Arial" w:hAnsi="Arial" w:cs="Arial"/>
                          </w:rPr>
                        </w:pPr>
                        <w:r w:rsidRPr="006A2E06">
                          <w:rPr>
                            <w:rFonts w:ascii="Arial" w:hAnsi="Arial" w:cs="Arial"/>
                          </w:rPr>
                          <w:t>Professor Anne Tiernan</w:t>
                        </w:r>
                      </w:p>
                      <w:p w14:paraId="55740C10" w14:textId="77777777" w:rsidR="00DA123D" w:rsidRPr="006A2E06" w:rsidRDefault="00DA123D">
                        <w:pPr>
                          <w:rPr>
                            <w:rFonts w:ascii="Arial" w:hAnsi="Arial" w:cs="Arial"/>
                          </w:rPr>
                        </w:pPr>
                        <w:r w:rsidRPr="006A2E06">
                          <w:rPr>
                            <w:rFonts w:ascii="Arial" w:hAnsi="Arial" w:cs="Arial"/>
                          </w:rPr>
                          <w:t>Chairperson</w:t>
                        </w:r>
                      </w:p>
                    </w:txbxContent>
                  </v:textbox>
                </v:shape>
                <v:shape id="Text Box 2" o:spid="_x0000_s1028" type="#_x0000_t202" style="position:absolute;left:19681;top:-2067;width:17116;height:6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14:paraId="6CC69E8B" w14:textId="77777777" w:rsidR="00DA123D" w:rsidRPr="006A2E06" w:rsidRDefault="00DA123D" w:rsidP="00A33A90">
                        <w:pPr>
                          <w:rPr>
                            <w:rFonts w:ascii="Arial" w:hAnsi="Arial" w:cs="Arial"/>
                          </w:rPr>
                        </w:pPr>
                        <w:r w:rsidRPr="006A2E06">
                          <w:rPr>
                            <w:rFonts w:ascii="Arial" w:hAnsi="Arial" w:cs="Arial"/>
                          </w:rPr>
                          <w:t>Mr Michael Noud</w:t>
                        </w:r>
                      </w:p>
                      <w:p w14:paraId="1ABD2E90" w14:textId="77777777" w:rsidR="00DA123D" w:rsidRPr="006A2E06" w:rsidRDefault="00DA123D" w:rsidP="00A33A90">
                        <w:pPr>
                          <w:rPr>
                            <w:rFonts w:ascii="Arial" w:hAnsi="Arial" w:cs="Arial"/>
                          </w:rPr>
                        </w:pPr>
                        <w:r w:rsidRPr="006A2E06">
                          <w:rPr>
                            <w:rFonts w:ascii="Arial" w:hAnsi="Arial" w:cs="Arial"/>
                          </w:rPr>
                          <w:t xml:space="preserve">Member </w:t>
                        </w:r>
                      </w:p>
                    </w:txbxContent>
                  </v:textbox>
                </v:shape>
                <v:shape id="Text Box 2" o:spid="_x0000_s1029" type="#_x0000_t202" style="position:absolute;left:40996;top:-2227;width:17348;height:6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0ABEA801" w14:textId="77777777" w:rsidR="00DA123D" w:rsidRPr="006A2E06" w:rsidRDefault="00DA123D" w:rsidP="00A33A90">
                        <w:pPr>
                          <w:rPr>
                            <w:rFonts w:ascii="Arial" w:hAnsi="Arial" w:cs="Arial"/>
                          </w:rPr>
                        </w:pPr>
                        <w:r w:rsidRPr="006A2E06">
                          <w:rPr>
                            <w:rFonts w:ascii="Arial" w:hAnsi="Arial" w:cs="Arial"/>
                          </w:rPr>
                          <w:t>Ms Karyn Walsh</w:t>
                        </w:r>
                      </w:p>
                      <w:p w14:paraId="4F3FE223" w14:textId="77777777" w:rsidR="00DA123D" w:rsidRPr="006A2E06" w:rsidRDefault="00DA123D" w:rsidP="00A33A90">
                        <w:pPr>
                          <w:rPr>
                            <w:rFonts w:ascii="Arial" w:hAnsi="Arial" w:cs="Arial"/>
                          </w:rPr>
                        </w:pPr>
                        <w:r w:rsidRPr="006A2E06">
                          <w:rPr>
                            <w:rFonts w:ascii="Arial" w:hAnsi="Arial" w:cs="Arial"/>
                          </w:rPr>
                          <w:t xml:space="preserve">Member </w:t>
                        </w:r>
                      </w:p>
                    </w:txbxContent>
                  </v:textbox>
                </v:shape>
                <w10:wrap type="square" anchorx="margin"/>
              </v:group>
            </w:pict>
          </mc:Fallback>
        </mc:AlternateContent>
      </w:r>
      <w:r w:rsidR="0039026C">
        <w:rPr>
          <w:rFonts w:asciiTheme="majorHAnsi" w:hAnsiTheme="majorHAnsi"/>
        </w:rPr>
        <w:t xml:space="preserve"> </w:t>
      </w:r>
    </w:p>
    <w:p w14:paraId="535B2493" w14:textId="4E15013D" w:rsidR="00A33A90" w:rsidRPr="009D0076" w:rsidRDefault="00A33A90" w:rsidP="009D0076">
      <w:pPr>
        <w:spacing w:after="120"/>
        <w:rPr>
          <w:rFonts w:asciiTheme="majorHAnsi" w:hAnsiTheme="majorHAnsi"/>
        </w:rPr>
      </w:pPr>
    </w:p>
    <w:p w14:paraId="6A970B0B" w14:textId="0D5FE212" w:rsidR="00A33A90" w:rsidRPr="009D0076" w:rsidRDefault="00A33A90" w:rsidP="007316BA">
      <w:pPr>
        <w:spacing w:line="276" w:lineRule="auto"/>
        <w:rPr>
          <w:rFonts w:asciiTheme="majorHAnsi" w:hAnsiTheme="majorHAnsi"/>
        </w:rPr>
      </w:pPr>
    </w:p>
    <w:p w14:paraId="3F8F9790" w14:textId="213B5F3A" w:rsidR="00A33A90" w:rsidRPr="009D0076" w:rsidRDefault="00A33A90" w:rsidP="00A33A90">
      <w:pPr>
        <w:spacing w:line="276" w:lineRule="auto"/>
        <w:rPr>
          <w:rFonts w:asciiTheme="majorHAnsi" w:eastAsiaTheme="majorEastAsia" w:hAnsiTheme="majorHAnsi" w:cstheme="majorBidi"/>
          <w:bCs/>
        </w:rPr>
      </w:pPr>
    </w:p>
    <w:p w14:paraId="5701BFEC" w14:textId="77777777" w:rsidR="0086044F" w:rsidRDefault="0086044F" w:rsidP="007316BA">
      <w:pPr>
        <w:spacing w:line="276" w:lineRule="auto"/>
        <w:rPr>
          <w:rFonts w:ascii="Arial" w:eastAsiaTheme="majorEastAsia" w:hAnsi="Arial" w:cs="Arial"/>
          <w:b/>
          <w:bCs/>
        </w:rPr>
      </w:pPr>
    </w:p>
    <w:p w14:paraId="792CADE7" w14:textId="77777777" w:rsidR="0086044F" w:rsidRDefault="0086044F" w:rsidP="007316BA">
      <w:pPr>
        <w:spacing w:line="276" w:lineRule="auto"/>
        <w:rPr>
          <w:rFonts w:ascii="Arial" w:eastAsiaTheme="majorEastAsia" w:hAnsi="Arial" w:cs="Arial"/>
          <w:b/>
          <w:bCs/>
        </w:rPr>
      </w:pPr>
    </w:p>
    <w:p w14:paraId="2198AC2F" w14:textId="478B7F2B" w:rsidR="0085560B" w:rsidRPr="006A2E06" w:rsidRDefault="00A33A90" w:rsidP="00777B06">
      <w:pPr>
        <w:tabs>
          <w:tab w:val="left" w:pos="8110"/>
        </w:tabs>
        <w:spacing w:line="276" w:lineRule="auto"/>
        <w:rPr>
          <w:rFonts w:ascii="Arial" w:hAnsi="Arial" w:cs="Arial"/>
          <w:b/>
        </w:rPr>
      </w:pPr>
      <w:r w:rsidRPr="006A2E06">
        <w:rPr>
          <w:rFonts w:ascii="Arial" w:eastAsiaTheme="majorEastAsia" w:hAnsi="Arial" w:cs="Arial"/>
          <w:b/>
          <w:bCs/>
        </w:rPr>
        <w:t>Date of Determination:</w:t>
      </w:r>
      <w:r w:rsidRPr="006A2E06">
        <w:rPr>
          <w:rFonts w:ascii="Arial" w:hAnsi="Arial" w:cs="Arial"/>
          <w:b/>
        </w:rPr>
        <w:t xml:space="preserve"> </w:t>
      </w:r>
      <w:r w:rsidR="00777B06">
        <w:rPr>
          <w:rFonts w:ascii="Arial" w:hAnsi="Arial" w:cs="Arial"/>
          <w:b/>
        </w:rPr>
        <w:t>23</w:t>
      </w:r>
      <w:r w:rsidR="006A2E06" w:rsidRPr="006A2E06">
        <w:rPr>
          <w:rFonts w:ascii="Arial" w:hAnsi="Arial" w:cs="Arial"/>
          <w:b/>
        </w:rPr>
        <w:t xml:space="preserve"> </w:t>
      </w:r>
      <w:r w:rsidR="0039026C">
        <w:rPr>
          <w:rFonts w:ascii="Arial" w:hAnsi="Arial" w:cs="Arial"/>
          <w:b/>
        </w:rPr>
        <w:t>June 2017</w:t>
      </w:r>
      <w:r w:rsidR="00777B06">
        <w:rPr>
          <w:rFonts w:ascii="Arial" w:hAnsi="Arial" w:cs="Arial"/>
          <w:b/>
        </w:rPr>
        <w:tab/>
      </w:r>
    </w:p>
    <w:sectPr w:rsidR="0085560B" w:rsidRPr="006A2E06" w:rsidSect="0077570C">
      <w:headerReference w:type="even" r:id="rId9"/>
      <w:headerReference w:type="default" r:id="rId10"/>
      <w:footerReference w:type="even" r:id="rId11"/>
      <w:footerReference w:type="default" r:id="rId12"/>
      <w:headerReference w:type="first" r:id="rId13"/>
      <w:footerReference w:type="first" r:id="rId14"/>
      <w:pgSz w:w="11900" w:h="16840"/>
      <w:pgMar w:top="1702" w:right="843" w:bottom="1440" w:left="1276"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84681" w14:textId="77777777" w:rsidR="00F14FF7" w:rsidRDefault="00F14FF7" w:rsidP="00283E15">
      <w:r>
        <w:separator/>
      </w:r>
    </w:p>
  </w:endnote>
  <w:endnote w:type="continuationSeparator" w:id="0">
    <w:p w14:paraId="757A2125" w14:textId="77777777" w:rsidR="00F14FF7" w:rsidRDefault="00F14FF7" w:rsidP="0028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72471" w14:textId="77777777" w:rsidR="00B222AB" w:rsidRDefault="00B222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324977"/>
      <w:docPartObj>
        <w:docPartGallery w:val="Page Numbers (Bottom of Page)"/>
        <w:docPartUnique/>
      </w:docPartObj>
    </w:sdtPr>
    <w:sdtEndPr>
      <w:rPr>
        <w:rFonts w:ascii="Arial" w:hAnsi="Arial" w:cs="Arial"/>
        <w:color w:val="7F7F7F" w:themeColor="background1" w:themeShade="7F"/>
        <w:spacing w:val="60"/>
      </w:rPr>
    </w:sdtEndPr>
    <w:sdtContent>
      <w:p w14:paraId="1D4D5A52" w14:textId="77777777" w:rsidR="00DA123D" w:rsidRPr="00BC658B" w:rsidRDefault="00DA123D">
        <w:pPr>
          <w:pStyle w:val="Footer"/>
          <w:pBdr>
            <w:top w:val="single" w:sz="4" w:space="1" w:color="D9D9D9" w:themeColor="background1" w:themeShade="D9"/>
          </w:pBdr>
          <w:jc w:val="right"/>
          <w:rPr>
            <w:rFonts w:ascii="Arial" w:hAnsi="Arial" w:cs="Arial"/>
          </w:rPr>
        </w:pPr>
        <w:r w:rsidRPr="00BC658B">
          <w:rPr>
            <w:rFonts w:ascii="Arial" w:hAnsi="Arial" w:cs="Arial"/>
          </w:rPr>
          <w:fldChar w:fldCharType="begin"/>
        </w:r>
        <w:r w:rsidRPr="00BC658B">
          <w:rPr>
            <w:rFonts w:ascii="Arial" w:hAnsi="Arial" w:cs="Arial"/>
          </w:rPr>
          <w:instrText xml:space="preserve"> PAGE   \* MERGEFORMAT </w:instrText>
        </w:r>
        <w:r w:rsidRPr="00BC658B">
          <w:rPr>
            <w:rFonts w:ascii="Arial" w:hAnsi="Arial" w:cs="Arial"/>
          </w:rPr>
          <w:fldChar w:fldCharType="separate"/>
        </w:r>
        <w:r w:rsidR="00102AA0">
          <w:rPr>
            <w:rFonts w:ascii="Arial" w:hAnsi="Arial" w:cs="Arial"/>
            <w:noProof/>
          </w:rPr>
          <w:t>4</w:t>
        </w:r>
        <w:r w:rsidRPr="00BC658B">
          <w:rPr>
            <w:rFonts w:ascii="Arial" w:hAnsi="Arial" w:cs="Arial"/>
            <w:noProof/>
          </w:rPr>
          <w:fldChar w:fldCharType="end"/>
        </w:r>
        <w:r w:rsidRPr="00BC658B">
          <w:rPr>
            <w:rFonts w:ascii="Arial" w:hAnsi="Arial" w:cs="Arial"/>
          </w:rPr>
          <w:t xml:space="preserve"> | </w:t>
        </w:r>
        <w:r w:rsidRPr="00BC658B">
          <w:rPr>
            <w:rFonts w:ascii="Arial" w:hAnsi="Arial" w:cs="Arial"/>
            <w:color w:val="7F7F7F" w:themeColor="background1" w:themeShade="7F"/>
            <w:spacing w:val="60"/>
          </w:rPr>
          <w:t>Page</w:t>
        </w:r>
      </w:p>
    </w:sdtContent>
  </w:sdt>
  <w:p w14:paraId="3B8EBB8E" w14:textId="77777777" w:rsidR="00DA123D" w:rsidRDefault="00DA12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7B9AC" w14:textId="77777777" w:rsidR="00B222AB" w:rsidRDefault="00B22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79B57" w14:textId="77777777" w:rsidR="00F14FF7" w:rsidRDefault="00F14FF7" w:rsidP="00283E15">
      <w:r>
        <w:separator/>
      </w:r>
    </w:p>
  </w:footnote>
  <w:footnote w:type="continuationSeparator" w:id="0">
    <w:p w14:paraId="69A88A40" w14:textId="77777777" w:rsidR="00F14FF7" w:rsidRDefault="00F14FF7" w:rsidP="00283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2F8EC" w14:textId="37ABF960" w:rsidR="00B222AB" w:rsidRDefault="00B222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73FAF" w14:textId="5B8AAA85" w:rsidR="00DA123D" w:rsidRDefault="00F32D5C" w:rsidP="00B25C5C">
    <w:pPr>
      <w:pStyle w:val="Header"/>
      <w:tabs>
        <w:tab w:val="left" w:pos="8153"/>
        <w:tab w:val="right" w:pos="9781"/>
      </w:tabs>
      <w:ind w:left="-1797" w:firstLine="1797"/>
      <w:rPr>
        <w:b/>
      </w:rPr>
    </w:pPr>
    <w:r w:rsidRPr="00F32D5C">
      <w:rPr>
        <w:b/>
        <w:noProof/>
        <w:lang w:eastAsia="en-AU"/>
      </w:rPr>
      <w:drawing>
        <wp:anchor distT="0" distB="0" distL="114300" distR="114300" simplePos="0" relativeHeight="251660288" behindDoc="0" locked="0" layoutInCell="1" allowOverlap="1" wp14:anchorId="626828E3" wp14:editId="5D838084">
          <wp:simplePos x="0" y="0"/>
          <wp:positionH relativeFrom="column">
            <wp:posOffset>3633972</wp:posOffset>
          </wp:positionH>
          <wp:positionV relativeFrom="paragraph">
            <wp:posOffset>-163712</wp:posOffset>
          </wp:positionV>
          <wp:extent cx="2881630" cy="723265"/>
          <wp:effectExtent l="0" t="0" r="0" b="0"/>
          <wp:wrapNone/>
          <wp:docPr id="31" name="Picture 31" descr="C:\Users\bargej\AppData\Local\Microsoft\Windows\INetCache\Content.Outlook\U5FB8G8C\DPC5754 QIRT Determination15 header 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gej\AppData\Local\Microsoft\Windows\INetCache\Content.Outlook\U5FB8G8C\DPC5754 QIRT Determination15 header v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1630" cy="723265"/>
                  </a:xfrm>
                  <a:prstGeom prst="rect">
                    <a:avLst/>
                  </a:prstGeom>
                  <a:noFill/>
                  <a:ln>
                    <a:noFill/>
                  </a:ln>
                </pic:spPr>
              </pic:pic>
            </a:graphicData>
          </a:graphic>
        </wp:anchor>
      </w:drawing>
    </w:r>
    <w:r w:rsidR="00883EE0">
      <w:rPr>
        <w:b/>
      </w:rPr>
      <w:tab/>
    </w:r>
    <w:r w:rsidR="00883EE0">
      <w:rPr>
        <w:b/>
      </w:rPr>
      <w:tab/>
    </w:r>
    <w:r w:rsidR="00883EE0">
      <w:rPr>
        <w:b/>
      </w:rPr>
      <w:tab/>
    </w:r>
    <w:r w:rsidR="00883EE0">
      <w:rPr>
        <w:b/>
      </w:rPr>
      <w:tab/>
    </w:r>
    <w:r w:rsidR="00DA123D" w:rsidRPr="002F1D82">
      <w:rPr>
        <w:b/>
        <w:noProof/>
        <w:lang w:eastAsia="en-AU"/>
      </w:rPr>
      <w:drawing>
        <wp:anchor distT="0" distB="0" distL="114300" distR="114300" simplePos="0" relativeHeight="251659264" behindDoc="0" locked="0" layoutInCell="1" allowOverlap="1" wp14:anchorId="3AD32942" wp14:editId="51E29999">
          <wp:simplePos x="0" y="0"/>
          <wp:positionH relativeFrom="page">
            <wp:posOffset>7620</wp:posOffset>
          </wp:positionH>
          <wp:positionV relativeFrom="paragraph">
            <wp:posOffset>-497840</wp:posOffset>
          </wp:positionV>
          <wp:extent cx="200660" cy="10892790"/>
          <wp:effectExtent l="0" t="0" r="8890" b="3810"/>
          <wp:wrapSquare wrapText="bothSides"/>
          <wp:docPr id="29" name="Picture 29"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IRT_LHS_BlueStr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660" cy="10892790"/>
                  </a:xfrm>
                  <a:prstGeom prst="rect">
                    <a:avLst/>
                  </a:prstGeom>
                  <a:noFill/>
                </pic:spPr>
              </pic:pic>
            </a:graphicData>
          </a:graphic>
          <wp14:sizeRelH relativeFrom="page">
            <wp14:pctWidth>0</wp14:pctWidth>
          </wp14:sizeRelH>
          <wp14:sizeRelV relativeFrom="page">
            <wp14:pctHeight>0</wp14:pctHeight>
          </wp14:sizeRelV>
        </wp:anchor>
      </w:drawing>
    </w:r>
  </w:p>
  <w:p w14:paraId="6462FA15" w14:textId="77777777" w:rsidR="00DA123D" w:rsidRDefault="00DA123D" w:rsidP="0077570C">
    <w:pPr>
      <w:pStyle w:val="Header"/>
      <w:ind w:left="-1797" w:firstLine="1797"/>
      <w:jc w:val="right"/>
      <w:rPr>
        <w:b/>
      </w:rPr>
    </w:pPr>
  </w:p>
  <w:p w14:paraId="4420EBD8" w14:textId="77777777" w:rsidR="00DA123D" w:rsidRDefault="00DA123D" w:rsidP="0077570C">
    <w:pPr>
      <w:pStyle w:val="Header"/>
      <w:ind w:left="-1797" w:firstLine="1797"/>
      <w:jc w:val="right"/>
      <w:rPr>
        <w:b/>
      </w:rPr>
    </w:pPr>
  </w:p>
  <w:p w14:paraId="3E048CBE" w14:textId="77777777" w:rsidR="00DA123D" w:rsidRPr="002F1D82" w:rsidRDefault="00DA123D" w:rsidP="0077570C">
    <w:pPr>
      <w:pStyle w:val="Header"/>
      <w:ind w:left="-1797" w:firstLine="1797"/>
      <w:jc w:val="right"/>
      <w:rPr>
        <w:b/>
      </w:rPr>
    </w:pPr>
    <w:r w:rsidRPr="002F1D82">
      <w:rPr>
        <w:b/>
        <w:noProof/>
        <w:lang w:eastAsia="en-AU"/>
      </w:rPr>
      <w:drawing>
        <wp:anchor distT="0" distB="0" distL="114300" distR="114300" simplePos="0" relativeHeight="251656704" behindDoc="0" locked="0" layoutInCell="1" allowOverlap="1" wp14:anchorId="676628E4" wp14:editId="553B97AE">
          <wp:simplePos x="0" y="0"/>
          <wp:positionH relativeFrom="column">
            <wp:posOffset>-1136650</wp:posOffset>
          </wp:positionH>
          <wp:positionV relativeFrom="paragraph">
            <wp:posOffset>-551815</wp:posOffset>
          </wp:positionV>
          <wp:extent cx="200025" cy="10829290"/>
          <wp:effectExtent l="0" t="0" r="9525" b="0"/>
          <wp:wrapSquare wrapText="bothSides"/>
          <wp:docPr id="30" name="Picture 30"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IRT_LHS_BlueStr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108292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FFD62" w14:textId="794DC5D8" w:rsidR="00B222AB" w:rsidRDefault="00B222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436D"/>
    <w:multiLevelType w:val="hybridMultilevel"/>
    <w:tmpl w:val="F8D4A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257FAE"/>
    <w:multiLevelType w:val="hybridMultilevel"/>
    <w:tmpl w:val="F0C8D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FC2425"/>
    <w:multiLevelType w:val="hybridMultilevel"/>
    <w:tmpl w:val="979A6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251EE9"/>
    <w:multiLevelType w:val="hybridMultilevel"/>
    <w:tmpl w:val="2794CF2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BD66B5"/>
    <w:multiLevelType w:val="hybridMultilevel"/>
    <w:tmpl w:val="FA763A3C"/>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5" w15:restartNumberingAfterBreak="0">
    <w:nsid w:val="18007BAD"/>
    <w:multiLevelType w:val="hybridMultilevel"/>
    <w:tmpl w:val="048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F53B3"/>
    <w:multiLevelType w:val="hybridMultilevel"/>
    <w:tmpl w:val="661E1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175C1F"/>
    <w:multiLevelType w:val="hybridMultilevel"/>
    <w:tmpl w:val="9632A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463598"/>
    <w:multiLevelType w:val="hybridMultilevel"/>
    <w:tmpl w:val="A2008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0377CA"/>
    <w:multiLevelType w:val="hybridMultilevel"/>
    <w:tmpl w:val="8A86A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291119"/>
    <w:multiLevelType w:val="hybridMultilevel"/>
    <w:tmpl w:val="2F1838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233A5E"/>
    <w:multiLevelType w:val="hybridMultilevel"/>
    <w:tmpl w:val="C1A46B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0AD3BB0"/>
    <w:multiLevelType w:val="hybridMultilevel"/>
    <w:tmpl w:val="26D2BA26"/>
    <w:lvl w:ilvl="0" w:tplc="04090001">
      <w:start w:val="1"/>
      <w:numFmt w:val="bullet"/>
      <w:lvlText w:val=""/>
      <w:lvlJc w:val="left"/>
      <w:pPr>
        <w:ind w:left="720" w:hanging="360"/>
      </w:pPr>
      <w:rPr>
        <w:rFonts w:ascii="Symbol" w:hAnsi="Symbol" w:hint="default"/>
        <w:b/>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1340E73"/>
    <w:multiLevelType w:val="hybridMultilevel"/>
    <w:tmpl w:val="0D5835C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1451762"/>
    <w:multiLevelType w:val="hybridMultilevel"/>
    <w:tmpl w:val="5A422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63569B"/>
    <w:multiLevelType w:val="hybridMultilevel"/>
    <w:tmpl w:val="8132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E0C65"/>
    <w:multiLevelType w:val="hybridMultilevel"/>
    <w:tmpl w:val="5F362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5450AA"/>
    <w:multiLevelType w:val="hybridMultilevel"/>
    <w:tmpl w:val="96941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2A2BC3"/>
    <w:multiLevelType w:val="hybridMultilevel"/>
    <w:tmpl w:val="300C8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BA0C02"/>
    <w:multiLevelType w:val="hybridMultilevel"/>
    <w:tmpl w:val="93C43E10"/>
    <w:lvl w:ilvl="0" w:tplc="0C090001">
      <w:start w:val="1"/>
      <w:numFmt w:val="bullet"/>
      <w:lvlText w:val=""/>
      <w:lvlJc w:val="left"/>
      <w:pPr>
        <w:ind w:left="1495" w:hanging="360"/>
      </w:pPr>
      <w:rPr>
        <w:rFonts w:ascii="Symbol" w:hAnsi="Symbol"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20" w15:restartNumberingAfterBreak="0">
    <w:nsid w:val="6A93519D"/>
    <w:multiLevelType w:val="hybridMultilevel"/>
    <w:tmpl w:val="6100A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A156DD"/>
    <w:multiLevelType w:val="hybridMultilevel"/>
    <w:tmpl w:val="6A06D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CC56F4"/>
    <w:multiLevelType w:val="hybridMultilevel"/>
    <w:tmpl w:val="DE6ECC54"/>
    <w:lvl w:ilvl="0" w:tplc="384AE084">
      <w:numFmt w:val="bullet"/>
      <w:lvlText w:val="-"/>
      <w:lvlJc w:val="left"/>
      <w:pPr>
        <w:ind w:left="360" w:hanging="360"/>
      </w:pPr>
      <w:rPr>
        <w:rFonts w:ascii="Arial" w:eastAsia="Times New Roman" w:hAnsi="Arial" w:cs="Arial"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4FD6820"/>
    <w:multiLevelType w:val="hybridMultilevel"/>
    <w:tmpl w:val="C2888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12"/>
  </w:num>
  <w:num w:numId="4">
    <w:abstractNumId w:val="5"/>
  </w:num>
  <w:num w:numId="5">
    <w:abstractNumId w:val="13"/>
  </w:num>
  <w:num w:numId="6">
    <w:abstractNumId w:val="6"/>
  </w:num>
  <w:num w:numId="7">
    <w:abstractNumId w:val="3"/>
  </w:num>
  <w:num w:numId="8">
    <w:abstractNumId w:val="14"/>
  </w:num>
  <w:num w:numId="9">
    <w:abstractNumId w:val="2"/>
  </w:num>
  <w:num w:numId="10">
    <w:abstractNumId w:val="16"/>
  </w:num>
  <w:num w:numId="11">
    <w:abstractNumId w:val="4"/>
  </w:num>
  <w:num w:numId="12">
    <w:abstractNumId w:val="10"/>
  </w:num>
  <w:num w:numId="13">
    <w:abstractNumId w:val="19"/>
  </w:num>
  <w:num w:numId="14">
    <w:abstractNumId w:val="11"/>
  </w:num>
  <w:num w:numId="15">
    <w:abstractNumId w:val="0"/>
  </w:num>
  <w:num w:numId="16">
    <w:abstractNumId w:val="8"/>
  </w:num>
  <w:num w:numId="17">
    <w:abstractNumId w:val="23"/>
  </w:num>
  <w:num w:numId="18">
    <w:abstractNumId w:val="18"/>
  </w:num>
  <w:num w:numId="19">
    <w:abstractNumId w:val="20"/>
  </w:num>
  <w:num w:numId="20">
    <w:abstractNumId w:val="21"/>
  </w:num>
  <w:num w:numId="21">
    <w:abstractNumId w:val="1"/>
  </w:num>
  <w:num w:numId="22">
    <w:abstractNumId w:val="9"/>
  </w:num>
  <w:num w:numId="23">
    <w:abstractNumId w:val="17"/>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4B"/>
    <w:rsid w:val="000060D7"/>
    <w:rsid w:val="0001118D"/>
    <w:rsid w:val="000144EA"/>
    <w:rsid w:val="000332F5"/>
    <w:rsid w:val="00044401"/>
    <w:rsid w:val="000706ED"/>
    <w:rsid w:val="0008621A"/>
    <w:rsid w:val="00097345"/>
    <w:rsid w:val="000A2698"/>
    <w:rsid w:val="000C0049"/>
    <w:rsid w:val="000C1626"/>
    <w:rsid w:val="000C4818"/>
    <w:rsid w:val="000D64C1"/>
    <w:rsid w:val="000D6A76"/>
    <w:rsid w:val="000D7563"/>
    <w:rsid w:val="000E2B15"/>
    <w:rsid w:val="000F23C6"/>
    <w:rsid w:val="00102AA0"/>
    <w:rsid w:val="00104C32"/>
    <w:rsid w:val="00114FA2"/>
    <w:rsid w:val="00142152"/>
    <w:rsid w:val="00151274"/>
    <w:rsid w:val="00165CA1"/>
    <w:rsid w:val="00186129"/>
    <w:rsid w:val="00191C0D"/>
    <w:rsid w:val="001A3E85"/>
    <w:rsid w:val="001C4384"/>
    <w:rsid w:val="001D087F"/>
    <w:rsid w:val="001F1501"/>
    <w:rsid w:val="002132BA"/>
    <w:rsid w:val="002504F0"/>
    <w:rsid w:val="002528E0"/>
    <w:rsid w:val="00261A2B"/>
    <w:rsid w:val="00265722"/>
    <w:rsid w:val="00283E15"/>
    <w:rsid w:val="00287E5F"/>
    <w:rsid w:val="00292A76"/>
    <w:rsid w:val="002A3AC7"/>
    <w:rsid w:val="002A4F23"/>
    <w:rsid w:val="002A5EC8"/>
    <w:rsid w:val="002B3329"/>
    <w:rsid w:val="002B3499"/>
    <w:rsid w:val="002C356B"/>
    <w:rsid w:val="002C5C92"/>
    <w:rsid w:val="002E1495"/>
    <w:rsid w:val="002E1CBE"/>
    <w:rsid w:val="002E7595"/>
    <w:rsid w:val="002E772D"/>
    <w:rsid w:val="002F1D82"/>
    <w:rsid w:val="002F69BE"/>
    <w:rsid w:val="0030240B"/>
    <w:rsid w:val="00331A07"/>
    <w:rsid w:val="003429E6"/>
    <w:rsid w:val="0035395A"/>
    <w:rsid w:val="00360BCE"/>
    <w:rsid w:val="0039026C"/>
    <w:rsid w:val="00390301"/>
    <w:rsid w:val="00392842"/>
    <w:rsid w:val="003A33A6"/>
    <w:rsid w:val="003C2A72"/>
    <w:rsid w:val="003D4980"/>
    <w:rsid w:val="003E465D"/>
    <w:rsid w:val="003E6B1B"/>
    <w:rsid w:val="003F3DDD"/>
    <w:rsid w:val="004067F2"/>
    <w:rsid w:val="00411806"/>
    <w:rsid w:val="00412CCA"/>
    <w:rsid w:val="004232EF"/>
    <w:rsid w:val="004352BC"/>
    <w:rsid w:val="004527A2"/>
    <w:rsid w:val="004618FA"/>
    <w:rsid w:val="0047094D"/>
    <w:rsid w:val="00490930"/>
    <w:rsid w:val="00494F85"/>
    <w:rsid w:val="004950E5"/>
    <w:rsid w:val="004A5366"/>
    <w:rsid w:val="004A7115"/>
    <w:rsid w:val="004B1CA7"/>
    <w:rsid w:val="004B3F20"/>
    <w:rsid w:val="004C14FC"/>
    <w:rsid w:val="004D540F"/>
    <w:rsid w:val="004E0CC8"/>
    <w:rsid w:val="004E3CF4"/>
    <w:rsid w:val="004F4FC3"/>
    <w:rsid w:val="00500C8A"/>
    <w:rsid w:val="005021BB"/>
    <w:rsid w:val="00507AFA"/>
    <w:rsid w:val="00513ECF"/>
    <w:rsid w:val="00541CD2"/>
    <w:rsid w:val="0054242F"/>
    <w:rsid w:val="0054339B"/>
    <w:rsid w:val="005544D2"/>
    <w:rsid w:val="00572DCE"/>
    <w:rsid w:val="005771AE"/>
    <w:rsid w:val="005774C2"/>
    <w:rsid w:val="005813F9"/>
    <w:rsid w:val="00582AC4"/>
    <w:rsid w:val="005A4A4B"/>
    <w:rsid w:val="005C6654"/>
    <w:rsid w:val="005E77D2"/>
    <w:rsid w:val="005F2958"/>
    <w:rsid w:val="00600E8A"/>
    <w:rsid w:val="00605065"/>
    <w:rsid w:val="00625056"/>
    <w:rsid w:val="00633A2D"/>
    <w:rsid w:val="00657E42"/>
    <w:rsid w:val="00662A4F"/>
    <w:rsid w:val="00664C9B"/>
    <w:rsid w:val="006663E4"/>
    <w:rsid w:val="00693735"/>
    <w:rsid w:val="006A02A2"/>
    <w:rsid w:val="006A2E06"/>
    <w:rsid w:val="006A646A"/>
    <w:rsid w:val="006C5162"/>
    <w:rsid w:val="006C60FF"/>
    <w:rsid w:val="006D51BF"/>
    <w:rsid w:val="006D71D0"/>
    <w:rsid w:val="006E3387"/>
    <w:rsid w:val="0070571C"/>
    <w:rsid w:val="00710430"/>
    <w:rsid w:val="0071135E"/>
    <w:rsid w:val="00716108"/>
    <w:rsid w:val="00723F8E"/>
    <w:rsid w:val="0072782D"/>
    <w:rsid w:val="007316BA"/>
    <w:rsid w:val="007319F4"/>
    <w:rsid w:val="007519AF"/>
    <w:rsid w:val="00770F88"/>
    <w:rsid w:val="0077570C"/>
    <w:rsid w:val="00777B06"/>
    <w:rsid w:val="0078098C"/>
    <w:rsid w:val="007B3FA0"/>
    <w:rsid w:val="007D3187"/>
    <w:rsid w:val="007E420B"/>
    <w:rsid w:val="007E7A74"/>
    <w:rsid w:val="007F24D4"/>
    <w:rsid w:val="00804296"/>
    <w:rsid w:val="00814876"/>
    <w:rsid w:val="00814BCC"/>
    <w:rsid w:val="00822446"/>
    <w:rsid w:val="0085560B"/>
    <w:rsid w:val="0086044F"/>
    <w:rsid w:val="00866B66"/>
    <w:rsid w:val="00867AD3"/>
    <w:rsid w:val="008729EB"/>
    <w:rsid w:val="00876240"/>
    <w:rsid w:val="00883EE0"/>
    <w:rsid w:val="00885C8D"/>
    <w:rsid w:val="008A3267"/>
    <w:rsid w:val="008A6F3C"/>
    <w:rsid w:val="008B585F"/>
    <w:rsid w:val="008D0BF5"/>
    <w:rsid w:val="008E0927"/>
    <w:rsid w:val="008F56CD"/>
    <w:rsid w:val="008F6257"/>
    <w:rsid w:val="00924387"/>
    <w:rsid w:val="00926AA1"/>
    <w:rsid w:val="00947E70"/>
    <w:rsid w:val="009512DC"/>
    <w:rsid w:val="00953B45"/>
    <w:rsid w:val="009633AB"/>
    <w:rsid w:val="00966009"/>
    <w:rsid w:val="00971792"/>
    <w:rsid w:val="009730A2"/>
    <w:rsid w:val="00973EA0"/>
    <w:rsid w:val="009766E4"/>
    <w:rsid w:val="00985D3D"/>
    <w:rsid w:val="009978CF"/>
    <w:rsid w:val="009A2952"/>
    <w:rsid w:val="009B6BD8"/>
    <w:rsid w:val="009C1495"/>
    <w:rsid w:val="009C1EB7"/>
    <w:rsid w:val="009C38F1"/>
    <w:rsid w:val="009C5690"/>
    <w:rsid w:val="009D0076"/>
    <w:rsid w:val="009D65EF"/>
    <w:rsid w:val="009F78FA"/>
    <w:rsid w:val="00A0195D"/>
    <w:rsid w:val="00A20BA3"/>
    <w:rsid w:val="00A23C7A"/>
    <w:rsid w:val="00A24FB1"/>
    <w:rsid w:val="00A33A90"/>
    <w:rsid w:val="00A35842"/>
    <w:rsid w:val="00A4406C"/>
    <w:rsid w:val="00A577DB"/>
    <w:rsid w:val="00A6234D"/>
    <w:rsid w:val="00A731DD"/>
    <w:rsid w:val="00A771C7"/>
    <w:rsid w:val="00A774FB"/>
    <w:rsid w:val="00A8088D"/>
    <w:rsid w:val="00A8292A"/>
    <w:rsid w:val="00A86A7C"/>
    <w:rsid w:val="00AB1180"/>
    <w:rsid w:val="00AB3533"/>
    <w:rsid w:val="00AB7792"/>
    <w:rsid w:val="00AC17F8"/>
    <w:rsid w:val="00AD2D5A"/>
    <w:rsid w:val="00B002DF"/>
    <w:rsid w:val="00B05160"/>
    <w:rsid w:val="00B11B89"/>
    <w:rsid w:val="00B17F4B"/>
    <w:rsid w:val="00B222AB"/>
    <w:rsid w:val="00B25C5C"/>
    <w:rsid w:val="00B430E6"/>
    <w:rsid w:val="00B54786"/>
    <w:rsid w:val="00B719D5"/>
    <w:rsid w:val="00B81E81"/>
    <w:rsid w:val="00B84F26"/>
    <w:rsid w:val="00B85935"/>
    <w:rsid w:val="00B9468F"/>
    <w:rsid w:val="00B954E9"/>
    <w:rsid w:val="00BC658B"/>
    <w:rsid w:val="00BC6817"/>
    <w:rsid w:val="00BE2E7E"/>
    <w:rsid w:val="00BF349E"/>
    <w:rsid w:val="00C00E1D"/>
    <w:rsid w:val="00C01C15"/>
    <w:rsid w:val="00C16D2D"/>
    <w:rsid w:val="00C276F7"/>
    <w:rsid w:val="00C42288"/>
    <w:rsid w:val="00C7422B"/>
    <w:rsid w:val="00C77774"/>
    <w:rsid w:val="00C839DB"/>
    <w:rsid w:val="00C935F7"/>
    <w:rsid w:val="00CA2737"/>
    <w:rsid w:val="00CA34E6"/>
    <w:rsid w:val="00CA406F"/>
    <w:rsid w:val="00CA42B0"/>
    <w:rsid w:val="00CA4BF1"/>
    <w:rsid w:val="00CC6F12"/>
    <w:rsid w:val="00CD0337"/>
    <w:rsid w:val="00CD42A3"/>
    <w:rsid w:val="00CF599C"/>
    <w:rsid w:val="00D071B7"/>
    <w:rsid w:val="00D13CF0"/>
    <w:rsid w:val="00D21F25"/>
    <w:rsid w:val="00D444A4"/>
    <w:rsid w:val="00D45A2C"/>
    <w:rsid w:val="00D57D9D"/>
    <w:rsid w:val="00D60523"/>
    <w:rsid w:val="00D630BD"/>
    <w:rsid w:val="00D80D9B"/>
    <w:rsid w:val="00D8617A"/>
    <w:rsid w:val="00DA123D"/>
    <w:rsid w:val="00DA1FA5"/>
    <w:rsid w:val="00DC0159"/>
    <w:rsid w:val="00DC176A"/>
    <w:rsid w:val="00DD0078"/>
    <w:rsid w:val="00DF70C8"/>
    <w:rsid w:val="00E1322D"/>
    <w:rsid w:val="00E13B47"/>
    <w:rsid w:val="00E16ED4"/>
    <w:rsid w:val="00E224F0"/>
    <w:rsid w:val="00E23DF9"/>
    <w:rsid w:val="00E2676D"/>
    <w:rsid w:val="00E33AE5"/>
    <w:rsid w:val="00E41F87"/>
    <w:rsid w:val="00E568FE"/>
    <w:rsid w:val="00E646CE"/>
    <w:rsid w:val="00E857DF"/>
    <w:rsid w:val="00E95640"/>
    <w:rsid w:val="00EA1EE9"/>
    <w:rsid w:val="00EC0BFF"/>
    <w:rsid w:val="00EC66EA"/>
    <w:rsid w:val="00ED38ED"/>
    <w:rsid w:val="00ED4A15"/>
    <w:rsid w:val="00ED7793"/>
    <w:rsid w:val="00F03B02"/>
    <w:rsid w:val="00F06720"/>
    <w:rsid w:val="00F14FF7"/>
    <w:rsid w:val="00F15ED4"/>
    <w:rsid w:val="00F32D5C"/>
    <w:rsid w:val="00F54ABB"/>
    <w:rsid w:val="00F57D9B"/>
    <w:rsid w:val="00F72918"/>
    <w:rsid w:val="00F7483C"/>
    <w:rsid w:val="00F823D9"/>
    <w:rsid w:val="00F967EE"/>
    <w:rsid w:val="00FA0A43"/>
    <w:rsid w:val="00FA7A4F"/>
    <w:rsid w:val="00FD0588"/>
    <w:rsid w:val="00FD0616"/>
    <w:rsid w:val="00FD724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3C8DB3"/>
  <w15:docId w15:val="{7F6FCEA7-4BD2-45DB-8611-3CDD5827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4A4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A4A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A4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A4A4B"/>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283E15"/>
  </w:style>
  <w:style w:type="character" w:customStyle="1" w:styleId="FootnoteTextChar">
    <w:name w:val="Footnote Text Char"/>
    <w:basedOn w:val="DefaultParagraphFont"/>
    <w:link w:val="FootnoteText"/>
    <w:uiPriority w:val="99"/>
    <w:rsid w:val="00283E15"/>
  </w:style>
  <w:style w:type="character" w:styleId="FootnoteReference">
    <w:name w:val="footnote reference"/>
    <w:basedOn w:val="DefaultParagraphFont"/>
    <w:uiPriority w:val="99"/>
    <w:unhideWhenUsed/>
    <w:rsid w:val="00283E15"/>
    <w:rPr>
      <w:vertAlign w:val="superscript"/>
    </w:rPr>
  </w:style>
  <w:style w:type="paragraph" w:styleId="ListParagraph">
    <w:name w:val="List Paragraph"/>
    <w:basedOn w:val="Normal"/>
    <w:uiPriority w:val="34"/>
    <w:qFormat/>
    <w:rsid w:val="00AB3533"/>
    <w:pPr>
      <w:ind w:left="720"/>
      <w:contextualSpacing/>
    </w:pPr>
  </w:style>
  <w:style w:type="character" w:styleId="CommentReference">
    <w:name w:val="annotation reference"/>
    <w:basedOn w:val="DefaultParagraphFont"/>
    <w:uiPriority w:val="99"/>
    <w:semiHidden/>
    <w:unhideWhenUsed/>
    <w:rsid w:val="00331A07"/>
    <w:rPr>
      <w:sz w:val="18"/>
      <w:szCs w:val="18"/>
    </w:rPr>
  </w:style>
  <w:style w:type="paragraph" w:styleId="CommentText">
    <w:name w:val="annotation text"/>
    <w:basedOn w:val="Normal"/>
    <w:link w:val="CommentTextChar"/>
    <w:uiPriority w:val="99"/>
    <w:semiHidden/>
    <w:unhideWhenUsed/>
    <w:rsid w:val="00331A07"/>
  </w:style>
  <w:style w:type="character" w:customStyle="1" w:styleId="CommentTextChar">
    <w:name w:val="Comment Text Char"/>
    <w:basedOn w:val="DefaultParagraphFont"/>
    <w:link w:val="CommentText"/>
    <w:uiPriority w:val="99"/>
    <w:semiHidden/>
    <w:rsid w:val="00331A07"/>
  </w:style>
  <w:style w:type="paragraph" w:styleId="CommentSubject">
    <w:name w:val="annotation subject"/>
    <w:basedOn w:val="CommentText"/>
    <w:next w:val="CommentText"/>
    <w:link w:val="CommentSubjectChar"/>
    <w:uiPriority w:val="99"/>
    <w:semiHidden/>
    <w:unhideWhenUsed/>
    <w:rsid w:val="00331A07"/>
    <w:rPr>
      <w:b/>
      <w:bCs/>
      <w:sz w:val="20"/>
      <w:szCs w:val="20"/>
    </w:rPr>
  </w:style>
  <w:style w:type="character" w:customStyle="1" w:styleId="CommentSubjectChar">
    <w:name w:val="Comment Subject Char"/>
    <w:basedOn w:val="CommentTextChar"/>
    <w:link w:val="CommentSubject"/>
    <w:uiPriority w:val="99"/>
    <w:semiHidden/>
    <w:rsid w:val="00331A07"/>
    <w:rPr>
      <w:b/>
      <w:bCs/>
      <w:sz w:val="20"/>
      <w:szCs w:val="20"/>
    </w:rPr>
  </w:style>
  <w:style w:type="paragraph" w:styleId="BalloonText">
    <w:name w:val="Balloon Text"/>
    <w:basedOn w:val="Normal"/>
    <w:link w:val="BalloonTextChar"/>
    <w:uiPriority w:val="99"/>
    <w:semiHidden/>
    <w:unhideWhenUsed/>
    <w:rsid w:val="00331A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1A07"/>
    <w:rPr>
      <w:rFonts w:ascii="Lucida Grande" w:hAnsi="Lucida Grande" w:cs="Lucida Grande"/>
      <w:sz w:val="18"/>
      <w:szCs w:val="18"/>
    </w:rPr>
  </w:style>
  <w:style w:type="paragraph" w:styleId="Header">
    <w:name w:val="header"/>
    <w:basedOn w:val="Normal"/>
    <w:link w:val="HeaderChar"/>
    <w:uiPriority w:val="99"/>
    <w:unhideWhenUsed/>
    <w:rsid w:val="002132BA"/>
    <w:pPr>
      <w:tabs>
        <w:tab w:val="center" w:pos="4513"/>
        <w:tab w:val="right" w:pos="9026"/>
      </w:tabs>
    </w:pPr>
  </w:style>
  <w:style w:type="character" w:customStyle="1" w:styleId="HeaderChar">
    <w:name w:val="Header Char"/>
    <w:basedOn w:val="DefaultParagraphFont"/>
    <w:link w:val="Header"/>
    <w:uiPriority w:val="99"/>
    <w:rsid w:val="002132BA"/>
  </w:style>
  <w:style w:type="paragraph" w:styleId="Footer">
    <w:name w:val="footer"/>
    <w:basedOn w:val="Normal"/>
    <w:link w:val="FooterChar"/>
    <w:uiPriority w:val="99"/>
    <w:unhideWhenUsed/>
    <w:rsid w:val="002132BA"/>
    <w:pPr>
      <w:tabs>
        <w:tab w:val="center" w:pos="4513"/>
        <w:tab w:val="right" w:pos="9026"/>
      </w:tabs>
    </w:pPr>
  </w:style>
  <w:style w:type="character" w:customStyle="1" w:styleId="FooterChar">
    <w:name w:val="Footer Char"/>
    <w:basedOn w:val="DefaultParagraphFont"/>
    <w:link w:val="Footer"/>
    <w:uiPriority w:val="99"/>
    <w:rsid w:val="002132BA"/>
  </w:style>
  <w:style w:type="character" w:styleId="Hyperlink">
    <w:name w:val="Hyperlink"/>
    <w:basedOn w:val="DefaultParagraphFont"/>
    <w:uiPriority w:val="99"/>
    <w:unhideWhenUsed/>
    <w:rsid w:val="00CA4BF1"/>
    <w:rPr>
      <w:color w:val="0000FF" w:themeColor="hyperlink"/>
      <w:u w:val="single"/>
    </w:rPr>
  </w:style>
  <w:style w:type="paragraph" w:styleId="NoSpacing">
    <w:name w:val="No Spacing"/>
    <w:link w:val="NoSpacingChar"/>
    <w:uiPriority w:val="1"/>
    <w:qFormat/>
    <w:rsid w:val="00E23DF9"/>
    <w:rPr>
      <w:sz w:val="22"/>
      <w:szCs w:val="22"/>
      <w:lang w:val="en-US"/>
    </w:rPr>
  </w:style>
  <w:style w:type="character" w:customStyle="1" w:styleId="NoSpacingChar">
    <w:name w:val="No Spacing Char"/>
    <w:basedOn w:val="DefaultParagraphFont"/>
    <w:link w:val="NoSpacing"/>
    <w:uiPriority w:val="1"/>
    <w:rsid w:val="00E23DF9"/>
    <w:rPr>
      <w:sz w:val="22"/>
      <w:szCs w:val="22"/>
      <w:lang w:val="en-US"/>
    </w:rPr>
  </w:style>
  <w:style w:type="paragraph" w:styleId="Title">
    <w:name w:val="Title"/>
    <w:basedOn w:val="Normal"/>
    <w:next w:val="Normal"/>
    <w:link w:val="TitleChar"/>
    <w:uiPriority w:val="10"/>
    <w:qFormat/>
    <w:rsid w:val="00E2676D"/>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itleChar">
    <w:name w:val="Title Char"/>
    <w:basedOn w:val="DefaultParagraphFont"/>
    <w:link w:val="Title"/>
    <w:uiPriority w:val="10"/>
    <w:rsid w:val="00E2676D"/>
    <w:rPr>
      <w:rFonts w:ascii="Cambria" w:eastAsia="Times New Roman" w:hAnsi="Cambria" w:cs="Times New Roman"/>
      <w:color w:val="17365D"/>
      <w:spacing w:val="5"/>
      <w:kern w:val="28"/>
      <w:sz w:val="52"/>
      <w:szCs w:val="52"/>
      <w:lang w:val="x-none" w:eastAsia="x-none"/>
    </w:rPr>
  </w:style>
  <w:style w:type="table" w:styleId="TableGrid">
    <w:name w:val="Table Grid"/>
    <w:basedOn w:val="TableNormal"/>
    <w:uiPriority w:val="59"/>
    <w:rsid w:val="00D44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89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247C1-765E-4765-9FFC-3CE3F359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869</Words>
  <Characters>4957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Queensland Independent Remuneration Tribunal Determination 14/2017 - Additional Salary of the New Office of Leader of the House</vt:lpstr>
    </vt:vector>
  </TitlesOfParts>
  <Company>Department of the Premier and Cabinet</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Independent Remuneration Tribunal Determination 14/2017 - Additional Salary of the New Office of Leader of the House</dc:title>
  <dc:subject>\</dc:subject>
  <dc:creator>Anne-Maree Tiernan</dc:creator>
  <cp:keywords>QIRT, determination 14/2017, queensland independent remuneration tribunal, queensland parliament, salary, review</cp:keywords>
  <dc:description/>
  <cp:lastModifiedBy>Janelle Hocking</cp:lastModifiedBy>
  <cp:revision>2</cp:revision>
  <cp:lastPrinted>2017-06-21T23:37:00Z</cp:lastPrinted>
  <dcterms:created xsi:type="dcterms:W3CDTF">2017-06-23T08:29:00Z</dcterms:created>
  <dcterms:modified xsi:type="dcterms:W3CDTF">2017-06-23T08:29:00Z</dcterms:modified>
  <cp:contentStatus/>
</cp:coreProperties>
</file>