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531691"/>
        <w:docPartObj>
          <w:docPartGallery w:val="Cover Pages"/>
          <w:docPartUnique/>
        </w:docPartObj>
      </w:sdtPr>
      <w:sdtEndPr>
        <w:rPr>
          <w:b/>
          <w:bCs/>
        </w:rPr>
      </w:sdtEndPr>
      <w:sdtContent>
        <w:tbl>
          <w:tblPr>
            <w:tblpPr w:leftFromText="187" w:rightFromText="187" w:horzAnchor="margin" w:tblpXSpec="center" w:tblpYSpec="bottom"/>
            <w:tblW w:w="7027" w:type="pct"/>
            <w:tblLook w:val="04A0" w:firstRow="1" w:lastRow="0" w:firstColumn="1" w:lastColumn="0" w:noHBand="0" w:noVBand="1"/>
          </w:tblPr>
          <w:tblGrid>
            <w:gridCol w:w="13746"/>
          </w:tblGrid>
          <w:tr w:rsidR="00E23DF9" w:rsidTr="0077570C">
            <w:trPr>
              <w:trHeight w:val="64"/>
            </w:trPr>
            <w:tc>
              <w:tcPr>
                <w:tcW w:w="13746" w:type="dxa"/>
                <w:tcMar>
                  <w:top w:w="216" w:type="dxa"/>
                  <w:left w:w="115" w:type="dxa"/>
                  <w:bottom w:w="216" w:type="dxa"/>
                  <w:right w:w="115" w:type="dxa"/>
                </w:tcMar>
              </w:tcPr>
              <w:p w:rsidR="00E23DF9" w:rsidRDefault="00E23DF9" w:rsidP="007E420B">
                <w:pPr>
                  <w:ind w:left="-1899" w:firstLine="1899"/>
                  <w:rPr>
                    <w:color w:val="4F81BD" w:themeColor="accent1"/>
                  </w:rPr>
                </w:pPr>
              </w:p>
            </w:tc>
          </w:tr>
        </w:tbl>
        <w:p w:rsidR="00E23DF9" w:rsidRPr="009730A2" w:rsidRDefault="0077570C" w:rsidP="009730A2">
          <w:pPr>
            <w:spacing w:line="276" w:lineRule="auto"/>
            <w:rPr>
              <w:rFonts w:asciiTheme="majorHAnsi" w:hAnsiTheme="majorHAnsi" w:cs="Arial"/>
              <w:bCs/>
            </w:rPr>
          </w:pPr>
          <w:r w:rsidRPr="0077570C">
            <w:rPr>
              <w:rFonts w:ascii="Arial" w:hAnsi="Arial" w:cs="Arial"/>
              <w:noProof/>
              <w:lang w:eastAsia="en-AU"/>
            </w:rPr>
            <w:drawing>
              <wp:anchor distT="0" distB="0" distL="114300" distR="114300" simplePos="0" relativeHeight="251664384" behindDoc="1" locked="0" layoutInCell="1" allowOverlap="1">
                <wp:simplePos x="0" y="0"/>
                <wp:positionH relativeFrom="margin">
                  <wp:posOffset>-775092</wp:posOffset>
                </wp:positionH>
                <wp:positionV relativeFrom="paragraph">
                  <wp:posOffset>-1004570</wp:posOffset>
                </wp:positionV>
                <wp:extent cx="7495533" cy="10597662"/>
                <wp:effectExtent l="0" t="0" r="0" b="0"/>
                <wp:wrapNone/>
                <wp:docPr id="5" name="Picture 5" descr="C:\Users\brouwera\AppData\Local\Microsoft\Windows\INetCache\Content.Outlook\C6NOLAKE\DPC5435 QIRT Determination13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uwera\AppData\Local\Microsoft\Windows\INetCache\Content.Outlook\C6NOLAKE\DPC5435 QIRT Determination13 cov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8868" cy="10602378"/>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77570C" w:rsidRDefault="0077570C">
      <w:pPr>
        <w:rPr>
          <w:rFonts w:ascii="Arial" w:eastAsia="Times New Roman" w:hAnsi="Arial" w:cs="Arial"/>
          <w:color w:val="17365D"/>
          <w:spacing w:val="5"/>
          <w:kern w:val="28"/>
          <w:sz w:val="52"/>
          <w:szCs w:val="52"/>
          <w:lang w:val="en-US" w:eastAsia="x-none"/>
        </w:rPr>
      </w:pPr>
      <w:r>
        <w:rPr>
          <w:rFonts w:ascii="Arial" w:hAnsi="Arial" w:cs="Arial"/>
          <w:lang w:val="en-US"/>
        </w:rPr>
        <w:br w:type="page"/>
      </w:r>
    </w:p>
    <w:p w:rsidR="00E2676D" w:rsidRPr="00E2676D" w:rsidRDefault="00E2676D" w:rsidP="00E2676D">
      <w:pPr>
        <w:pStyle w:val="Title"/>
        <w:pBdr>
          <w:bottom w:val="single" w:sz="8" w:space="7" w:color="4F81BD"/>
        </w:pBdr>
        <w:rPr>
          <w:rFonts w:ascii="Arial" w:hAnsi="Arial" w:cs="Arial"/>
          <w:lang w:val="en-US"/>
        </w:rPr>
      </w:pPr>
      <w:bookmarkStart w:id="0" w:name="_GoBack"/>
      <w:r>
        <w:rPr>
          <w:rFonts w:ascii="Arial" w:hAnsi="Arial" w:cs="Arial"/>
          <w:lang w:val="en-US"/>
        </w:rPr>
        <w:lastRenderedPageBreak/>
        <w:t>Reasons</w:t>
      </w:r>
    </w:p>
    <w:bookmarkEnd w:id="0"/>
    <w:p w:rsidR="00E2676D" w:rsidRPr="009D0076" w:rsidRDefault="00E2676D" w:rsidP="006C5162">
      <w:pPr>
        <w:pStyle w:val="Heading2"/>
        <w:spacing w:before="0" w:after="120"/>
        <w:contextualSpacing/>
      </w:pPr>
      <w:r w:rsidRPr="009D0076">
        <w:t>Background</w:t>
      </w:r>
    </w:p>
    <w:p w:rsidR="00B85935" w:rsidRPr="009D0076" w:rsidRDefault="00B85935" w:rsidP="006C5162">
      <w:pPr>
        <w:spacing w:after="120"/>
        <w:contextualSpacing/>
        <w:rPr>
          <w:rFonts w:asciiTheme="majorHAnsi" w:hAnsiTheme="majorHAnsi" w:cs="Arial"/>
          <w:bCs/>
        </w:rPr>
      </w:pPr>
      <w:r w:rsidRPr="009D0076">
        <w:rPr>
          <w:rFonts w:asciiTheme="majorHAnsi" w:hAnsiTheme="majorHAnsi" w:cs="Arial"/>
          <w:bCs/>
        </w:rPr>
        <w:t xml:space="preserve">The Queensland Independent Remuneration Tribunal (the Tribunal) is an independent statutory authority established by the </w:t>
      </w:r>
      <w:r w:rsidRPr="009D0076">
        <w:rPr>
          <w:rFonts w:asciiTheme="majorHAnsi" w:hAnsiTheme="majorHAnsi" w:cs="Arial"/>
          <w:bCs/>
          <w:i/>
        </w:rPr>
        <w:t>Queensland Independent Remuneration Tribunal Act 2013</w:t>
      </w:r>
      <w:r w:rsidRPr="009D0076">
        <w:rPr>
          <w:rFonts w:asciiTheme="majorHAnsi" w:hAnsiTheme="majorHAnsi" w:cs="Arial"/>
          <w:bCs/>
        </w:rPr>
        <w:t xml:space="preserve"> (the Act). </w:t>
      </w:r>
    </w:p>
    <w:p w:rsidR="009D0076" w:rsidRDefault="009D0076" w:rsidP="006C5162">
      <w:pPr>
        <w:spacing w:after="120"/>
        <w:contextualSpacing/>
        <w:rPr>
          <w:rFonts w:asciiTheme="majorHAnsi" w:hAnsiTheme="majorHAnsi" w:cs="Arial"/>
          <w:bCs/>
        </w:rPr>
      </w:pPr>
    </w:p>
    <w:p w:rsidR="005A4A4B" w:rsidRPr="009D0076" w:rsidRDefault="00B85935" w:rsidP="006C5162">
      <w:pPr>
        <w:spacing w:after="120"/>
        <w:contextualSpacing/>
        <w:rPr>
          <w:rFonts w:asciiTheme="majorHAnsi" w:hAnsiTheme="majorHAnsi" w:cs="Arial"/>
          <w:bCs/>
        </w:rPr>
      </w:pPr>
      <w:r w:rsidRPr="009D0076">
        <w:rPr>
          <w:rFonts w:asciiTheme="majorHAnsi" w:hAnsiTheme="majorHAnsi" w:cs="Arial"/>
          <w:bCs/>
        </w:rPr>
        <w:t xml:space="preserve">The Tribunal has </w:t>
      </w:r>
      <w:r w:rsidR="00CC6F12" w:rsidRPr="009D0076">
        <w:rPr>
          <w:rFonts w:asciiTheme="majorHAnsi" w:hAnsiTheme="majorHAnsi" w:cs="Arial"/>
          <w:bCs/>
        </w:rPr>
        <w:t>the power to make</w:t>
      </w:r>
      <w:r w:rsidRPr="009D0076">
        <w:rPr>
          <w:rFonts w:asciiTheme="majorHAnsi" w:hAnsiTheme="majorHAnsi" w:cs="Arial"/>
          <w:bCs/>
        </w:rPr>
        <w:t xml:space="preserve"> salary determinations in accordance with section 27 of the Act which provides for ‘…the power to make determinations about remunerat</w:t>
      </w:r>
      <w:r w:rsidR="00770F88" w:rsidRPr="009D0076">
        <w:rPr>
          <w:rFonts w:asciiTheme="majorHAnsi" w:hAnsiTheme="majorHAnsi" w:cs="Arial"/>
          <w:bCs/>
        </w:rPr>
        <w:t>ion in connection with members [MPs]</w:t>
      </w:r>
      <w:r w:rsidRPr="009D0076">
        <w:rPr>
          <w:rFonts w:asciiTheme="majorHAnsi" w:hAnsiTheme="majorHAnsi" w:cs="Arial"/>
          <w:bCs/>
        </w:rPr>
        <w:t xml:space="preserve"> and former members of the </w:t>
      </w:r>
      <w:r w:rsidR="00770F88" w:rsidRPr="009D0076">
        <w:rPr>
          <w:rFonts w:asciiTheme="majorHAnsi" w:hAnsiTheme="majorHAnsi" w:cs="Arial"/>
          <w:bCs/>
        </w:rPr>
        <w:t>[</w:t>
      </w:r>
      <w:r w:rsidRPr="009D0076">
        <w:rPr>
          <w:rFonts w:asciiTheme="majorHAnsi" w:hAnsiTheme="majorHAnsi" w:cs="Arial"/>
          <w:bCs/>
        </w:rPr>
        <w:t>Q</w:t>
      </w:r>
      <w:r w:rsidR="00770F88" w:rsidRPr="009D0076">
        <w:rPr>
          <w:rFonts w:asciiTheme="majorHAnsi" w:hAnsiTheme="majorHAnsi" w:cs="Arial"/>
          <w:bCs/>
        </w:rPr>
        <w:t>ueensland Legislative] Assembly [</w:t>
      </w:r>
      <w:r w:rsidRPr="009D0076">
        <w:rPr>
          <w:rFonts w:asciiTheme="majorHAnsi" w:hAnsiTheme="majorHAnsi" w:cs="Arial"/>
          <w:bCs/>
        </w:rPr>
        <w:t>the Assembly</w:t>
      </w:r>
      <w:r w:rsidR="00770F88" w:rsidRPr="009D0076">
        <w:rPr>
          <w:rFonts w:asciiTheme="majorHAnsi" w:hAnsiTheme="majorHAnsi" w:cs="Arial"/>
          <w:bCs/>
        </w:rPr>
        <w:t>]’</w:t>
      </w:r>
      <w:r w:rsidRPr="009D0076">
        <w:rPr>
          <w:rFonts w:asciiTheme="majorHAnsi" w:hAnsiTheme="majorHAnsi" w:cs="Arial"/>
          <w:bCs/>
        </w:rPr>
        <w:t>.</w:t>
      </w:r>
    </w:p>
    <w:p w:rsidR="00B85935" w:rsidRPr="009D0076" w:rsidRDefault="00B85935" w:rsidP="006C5162">
      <w:pPr>
        <w:spacing w:after="120"/>
        <w:contextualSpacing/>
        <w:rPr>
          <w:rFonts w:asciiTheme="majorHAnsi" w:hAnsiTheme="majorHAnsi" w:cs="Arial"/>
          <w:bCs/>
        </w:rPr>
      </w:pPr>
    </w:p>
    <w:p w:rsidR="00B85935" w:rsidRPr="009D0076" w:rsidRDefault="00B85935" w:rsidP="006C5162">
      <w:pPr>
        <w:spacing w:after="120"/>
        <w:contextualSpacing/>
        <w:rPr>
          <w:rFonts w:asciiTheme="majorHAnsi" w:hAnsiTheme="majorHAnsi" w:cs="Arial"/>
          <w:bCs/>
        </w:rPr>
      </w:pPr>
      <w:r w:rsidRPr="009D0076">
        <w:rPr>
          <w:rFonts w:asciiTheme="majorHAnsi" w:hAnsiTheme="majorHAnsi" w:cs="Arial"/>
          <w:bCs/>
        </w:rPr>
        <w:t>The definition of ‘remuneration’ under the Act includes the annual salary (s41), the additional salary (s42) and associated allowances (s54) payable to an MP for performing roles as an office holder in addition to that of an MP in the Queensland Legislative Assembly.</w:t>
      </w:r>
    </w:p>
    <w:p w:rsidR="00AC17F8" w:rsidRPr="009D0076" w:rsidRDefault="00AC17F8" w:rsidP="006C5162">
      <w:pPr>
        <w:spacing w:after="120"/>
        <w:contextualSpacing/>
        <w:rPr>
          <w:rFonts w:asciiTheme="majorHAnsi" w:hAnsiTheme="majorHAnsi"/>
        </w:rPr>
      </w:pPr>
    </w:p>
    <w:p w:rsidR="005A4A4B" w:rsidRPr="009D0076" w:rsidRDefault="00B54786" w:rsidP="006C5162">
      <w:pPr>
        <w:pStyle w:val="Heading2"/>
        <w:spacing w:before="0" w:after="120"/>
        <w:contextualSpacing/>
      </w:pPr>
      <w:r w:rsidRPr="009D0076">
        <w:t>Introduction</w:t>
      </w:r>
    </w:p>
    <w:p w:rsidR="00B430E6" w:rsidRPr="009D0076" w:rsidRDefault="00E2676D" w:rsidP="006C5162">
      <w:pPr>
        <w:spacing w:after="120"/>
        <w:contextualSpacing/>
        <w:rPr>
          <w:rFonts w:asciiTheme="majorHAnsi" w:hAnsiTheme="majorHAnsi"/>
        </w:rPr>
      </w:pPr>
      <w:r w:rsidRPr="009D0076">
        <w:rPr>
          <w:rFonts w:asciiTheme="majorHAnsi" w:hAnsiTheme="majorHAnsi"/>
        </w:rPr>
        <w:t xml:space="preserve">In this determination, </w:t>
      </w:r>
      <w:r w:rsidR="002F69BE" w:rsidRPr="009D0076">
        <w:rPr>
          <w:rFonts w:asciiTheme="majorHAnsi" w:hAnsiTheme="majorHAnsi"/>
        </w:rPr>
        <w:t>t</w:t>
      </w:r>
      <w:r w:rsidR="00B430E6" w:rsidRPr="009D0076">
        <w:rPr>
          <w:rFonts w:asciiTheme="majorHAnsi" w:hAnsiTheme="majorHAnsi"/>
        </w:rPr>
        <w:t>he Tribunal is considering and making amendments to th</w:t>
      </w:r>
      <w:r w:rsidR="00CC6F12" w:rsidRPr="009D0076">
        <w:rPr>
          <w:rFonts w:asciiTheme="majorHAnsi" w:hAnsiTheme="majorHAnsi"/>
        </w:rPr>
        <w:t>ree elements of the Allowances S</w:t>
      </w:r>
      <w:r w:rsidR="00B430E6" w:rsidRPr="009D0076">
        <w:rPr>
          <w:rFonts w:asciiTheme="majorHAnsi" w:hAnsiTheme="majorHAnsi"/>
        </w:rPr>
        <w:t>ystem:</w:t>
      </w:r>
    </w:p>
    <w:p w:rsidR="00B430E6" w:rsidRPr="009D0076" w:rsidRDefault="006C5162" w:rsidP="006C5162">
      <w:pPr>
        <w:pStyle w:val="ListParagraph"/>
        <w:numPr>
          <w:ilvl w:val="0"/>
          <w:numId w:val="6"/>
        </w:numPr>
        <w:spacing w:after="120"/>
        <w:rPr>
          <w:rFonts w:asciiTheme="majorHAnsi" w:hAnsiTheme="majorHAnsi"/>
        </w:rPr>
      </w:pPr>
      <w:r>
        <w:rPr>
          <w:rFonts w:asciiTheme="majorHAnsi" w:hAnsiTheme="majorHAnsi"/>
        </w:rPr>
        <w:t>b</w:t>
      </w:r>
      <w:r w:rsidR="00B430E6" w:rsidRPr="009D0076">
        <w:rPr>
          <w:rFonts w:asciiTheme="majorHAnsi" w:hAnsiTheme="majorHAnsi"/>
        </w:rPr>
        <w:t>i-annual reporting</w:t>
      </w:r>
      <w:r w:rsidR="00B54786" w:rsidRPr="009D0076">
        <w:rPr>
          <w:rFonts w:asciiTheme="majorHAnsi" w:hAnsiTheme="majorHAnsi"/>
        </w:rPr>
        <w:t xml:space="preserve"> on expenditure against allowances by Members of Parliament </w:t>
      </w:r>
    </w:p>
    <w:p w:rsidR="00B430E6" w:rsidRPr="009D0076" w:rsidRDefault="006C5162" w:rsidP="006C5162">
      <w:pPr>
        <w:pStyle w:val="ListParagraph"/>
        <w:numPr>
          <w:ilvl w:val="0"/>
          <w:numId w:val="6"/>
        </w:numPr>
        <w:spacing w:after="120"/>
        <w:rPr>
          <w:rFonts w:asciiTheme="majorHAnsi" w:hAnsiTheme="majorHAnsi"/>
        </w:rPr>
      </w:pPr>
      <w:r>
        <w:rPr>
          <w:rFonts w:asciiTheme="majorHAnsi" w:hAnsiTheme="majorHAnsi"/>
        </w:rPr>
        <w:t>p</w:t>
      </w:r>
      <w:r w:rsidR="00B430E6" w:rsidRPr="009D0076">
        <w:rPr>
          <w:rFonts w:asciiTheme="majorHAnsi" w:hAnsiTheme="majorHAnsi"/>
        </w:rPr>
        <w:t>rovision of reimbursement for fuel costs in locations</w:t>
      </w:r>
      <w:r w:rsidR="007319F4" w:rsidRPr="009D0076">
        <w:rPr>
          <w:rFonts w:asciiTheme="majorHAnsi" w:hAnsiTheme="majorHAnsi"/>
        </w:rPr>
        <w:t xml:space="preserve"> where there are no taxis or hire cars available</w:t>
      </w:r>
      <w:r>
        <w:rPr>
          <w:rFonts w:asciiTheme="majorHAnsi" w:hAnsiTheme="majorHAnsi"/>
        </w:rPr>
        <w:t>, and</w:t>
      </w:r>
    </w:p>
    <w:p w:rsidR="00B430E6" w:rsidRPr="009D0076" w:rsidRDefault="006C5162" w:rsidP="006C5162">
      <w:pPr>
        <w:pStyle w:val="ListParagraph"/>
        <w:numPr>
          <w:ilvl w:val="0"/>
          <w:numId w:val="6"/>
        </w:numPr>
        <w:spacing w:after="120"/>
        <w:rPr>
          <w:rFonts w:asciiTheme="majorHAnsi" w:hAnsiTheme="majorHAnsi"/>
        </w:rPr>
      </w:pPr>
      <w:r>
        <w:rPr>
          <w:rFonts w:asciiTheme="majorHAnsi" w:hAnsiTheme="majorHAnsi"/>
        </w:rPr>
        <w:t>ad</w:t>
      </w:r>
      <w:r w:rsidR="00B430E6" w:rsidRPr="009D0076">
        <w:rPr>
          <w:rFonts w:asciiTheme="majorHAnsi" w:hAnsiTheme="majorHAnsi"/>
        </w:rPr>
        <w:t>justment to the</w:t>
      </w:r>
      <w:r w:rsidR="007E7A74" w:rsidRPr="009D0076">
        <w:rPr>
          <w:rFonts w:asciiTheme="majorHAnsi" w:hAnsiTheme="majorHAnsi"/>
        </w:rPr>
        <w:t xml:space="preserve"> Electorate</w:t>
      </w:r>
      <w:r w:rsidR="00B430E6" w:rsidRPr="009D0076">
        <w:rPr>
          <w:rFonts w:asciiTheme="majorHAnsi" w:hAnsiTheme="majorHAnsi"/>
        </w:rPr>
        <w:t xml:space="preserve"> and Communication Allowance to incorporate additional cleaning and equipment costs previously provided by the Speaker under </w:t>
      </w:r>
      <w:r w:rsidR="00B430E6" w:rsidRPr="009D0076">
        <w:rPr>
          <w:rFonts w:asciiTheme="majorHAnsi" w:hAnsiTheme="majorHAnsi"/>
          <w:i/>
        </w:rPr>
        <w:t>the Remuneration Handbook</w:t>
      </w:r>
      <w:r w:rsidR="00B430E6" w:rsidRPr="009D0076">
        <w:rPr>
          <w:rFonts w:asciiTheme="majorHAnsi" w:hAnsiTheme="majorHAnsi"/>
        </w:rPr>
        <w:t xml:space="preserve">. </w:t>
      </w:r>
    </w:p>
    <w:p w:rsidR="00B54786" w:rsidRPr="009D0076" w:rsidRDefault="00A731DD" w:rsidP="006C5162">
      <w:pPr>
        <w:spacing w:after="120"/>
        <w:contextualSpacing/>
        <w:rPr>
          <w:rFonts w:asciiTheme="majorHAnsi" w:hAnsiTheme="majorHAnsi"/>
        </w:rPr>
      </w:pPr>
      <w:r w:rsidRPr="009D0076">
        <w:rPr>
          <w:rFonts w:asciiTheme="majorHAnsi" w:hAnsiTheme="majorHAnsi"/>
        </w:rPr>
        <w:t xml:space="preserve">In accordance with section 30 of the Act the Tribunal has consulted with and considered the views of the Clerk on each of the matters covered in this determination.  </w:t>
      </w:r>
    </w:p>
    <w:p w:rsidR="009D0076" w:rsidRDefault="009D0076" w:rsidP="006C5162">
      <w:pPr>
        <w:pStyle w:val="Heading2"/>
        <w:spacing w:before="0" w:after="120"/>
        <w:contextualSpacing/>
      </w:pPr>
    </w:p>
    <w:p w:rsidR="00B54786" w:rsidRDefault="00B54786" w:rsidP="006C5162">
      <w:pPr>
        <w:pStyle w:val="Heading2"/>
        <w:spacing w:before="0" w:after="120"/>
        <w:contextualSpacing/>
      </w:pPr>
      <w:r w:rsidRPr="009D0076">
        <w:t>Bi-annual reporting</w:t>
      </w:r>
    </w:p>
    <w:p w:rsidR="00F7483C" w:rsidRDefault="00F7483C" w:rsidP="006C5162">
      <w:pPr>
        <w:spacing w:after="120"/>
        <w:rPr>
          <w:rFonts w:asciiTheme="majorHAnsi" w:hAnsiTheme="majorHAnsi"/>
          <w:b/>
        </w:rPr>
      </w:pPr>
      <w:r w:rsidRPr="009D0076">
        <w:rPr>
          <w:rFonts w:asciiTheme="majorHAnsi" w:hAnsiTheme="majorHAnsi"/>
          <w:b/>
        </w:rPr>
        <w:t>Background</w:t>
      </w:r>
    </w:p>
    <w:p w:rsidR="00BC6817" w:rsidRPr="009D0076" w:rsidRDefault="00B54786" w:rsidP="006C5162">
      <w:pPr>
        <w:spacing w:after="120"/>
        <w:contextualSpacing/>
        <w:rPr>
          <w:rFonts w:asciiTheme="majorHAnsi" w:hAnsiTheme="majorHAnsi"/>
        </w:rPr>
      </w:pPr>
      <w:r w:rsidRPr="009D0076">
        <w:rPr>
          <w:rFonts w:asciiTheme="majorHAnsi" w:hAnsiTheme="majorHAnsi"/>
        </w:rPr>
        <w:t xml:space="preserve">In Determination 1/2013 the Tribunal determined that the Clerk develop a bi-annual report on Members’ expenditure against the </w:t>
      </w:r>
      <w:r w:rsidR="007E7A74" w:rsidRPr="009D0076">
        <w:rPr>
          <w:rFonts w:asciiTheme="majorHAnsi" w:hAnsiTheme="majorHAnsi"/>
        </w:rPr>
        <w:t xml:space="preserve">Electorate and Communication </w:t>
      </w:r>
      <w:r w:rsidR="00BC6817" w:rsidRPr="009D0076">
        <w:rPr>
          <w:rFonts w:asciiTheme="majorHAnsi" w:hAnsiTheme="majorHAnsi"/>
        </w:rPr>
        <w:t xml:space="preserve">Allowance </w:t>
      </w:r>
      <w:r w:rsidR="00F7483C" w:rsidRPr="009D0076">
        <w:rPr>
          <w:rFonts w:asciiTheme="majorHAnsi" w:hAnsiTheme="majorHAnsi"/>
        </w:rPr>
        <w:t xml:space="preserve">(formerly the Electorate and Information and Communication Allowances) </w:t>
      </w:r>
      <w:r w:rsidRPr="009D0076">
        <w:rPr>
          <w:rFonts w:asciiTheme="majorHAnsi" w:hAnsiTheme="majorHAnsi"/>
        </w:rPr>
        <w:t xml:space="preserve">in addition to an annual report on </w:t>
      </w:r>
      <w:r w:rsidR="00BC6817" w:rsidRPr="009D0076">
        <w:rPr>
          <w:rFonts w:asciiTheme="majorHAnsi" w:hAnsiTheme="majorHAnsi"/>
        </w:rPr>
        <w:t>this allowance</w:t>
      </w:r>
      <w:r w:rsidR="00F7483C" w:rsidRPr="009D0076">
        <w:rPr>
          <w:rFonts w:asciiTheme="majorHAnsi" w:hAnsiTheme="majorHAnsi"/>
        </w:rPr>
        <w:t xml:space="preserve"> </w:t>
      </w:r>
      <w:r w:rsidRPr="009D0076">
        <w:rPr>
          <w:rFonts w:asciiTheme="majorHAnsi" w:hAnsiTheme="majorHAnsi"/>
        </w:rPr>
        <w:t>to be tabled in the Legislative Assembly</w:t>
      </w:r>
      <w:r w:rsidR="00F7483C" w:rsidRPr="009D0076">
        <w:rPr>
          <w:rFonts w:asciiTheme="majorHAnsi" w:hAnsiTheme="majorHAnsi"/>
        </w:rPr>
        <w:t xml:space="preserve"> before 30 September of each year</w:t>
      </w:r>
      <w:r w:rsidRPr="009D0076">
        <w:rPr>
          <w:rFonts w:asciiTheme="majorHAnsi" w:hAnsiTheme="majorHAnsi"/>
        </w:rPr>
        <w:t xml:space="preserve">. </w:t>
      </w:r>
    </w:p>
    <w:p w:rsidR="00BC6817" w:rsidRPr="009D0076" w:rsidRDefault="00BC6817" w:rsidP="006C5162">
      <w:pPr>
        <w:spacing w:after="120"/>
        <w:contextualSpacing/>
        <w:rPr>
          <w:rFonts w:asciiTheme="majorHAnsi" w:hAnsiTheme="majorHAnsi"/>
        </w:rPr>
      </w:pPr>
    </w:p>
    <w:p w:rsidR="00F7483C" w:rsidRPr="009D0076" w:rsidRDefault="00BC6817" w:rsidP="006C5162">
      <w:pPr>
        <w:spacing w:after="120"/>
        <w:contextualSpacing/>
        <w:rPr>
          <w:rFonts w:asciiTheme="majorHAnsi" w:hAnsiTheme="majorHAnsi"/>
        </w:rPr>
      </w:pPr>
      <w:r w:rsidRPr="009D0076">
        <w:rPr>
          <w:rFonts w:asciiTheme="majorHAnsi" w:hAnsiTheme="majorHAnsi"/>
        </w:rPr>
        <w:t>The bi-annual (</w:t>
      </w:r>
      <w:r w:rsidR="00F7483C" w:rsidRPr="009D0076">
        <w:rPr>
          <w:rFonts w:asciiTheme="majorHAnsi" w:hAnsiTheme="majorHAnsi"/>
        </w:rPr>
        <w:t xml:space="preserve">1 July to </w:t>
      </w:r>
      <w:r w:rsidRPr="009D0076">
        <w:rPr>
          <w:rFonts w:asciiTheme="majorHAnsi" w:hAnsiTheme="majorHAnsi"/>
        </w:rPr>
        <w:t>31 December) and the annual (</w:t>
      </w:r>
      <w:r w:rsidR="00F7483C" w:rsidRPr="009D0076">
        <w:rPr>
          <w:rFonts w:asciiTheme="majorHAnsi" w:hAnsiTheme="majorHAnsi"/>
        </w:rPr>
        <w:t>1 January to</w:t>
      </w:r>
      <w:r w:rsidRPr="009D0076">
        <w:rPr>
          <w:rFonts w:asciiTheme="majorHAnsi" w:hAnsiTheme="majorHAnsi"/>
        </w:rPr>
        <w:t xml:space="preserve"> 30 June) reports</w:t>
      </w:r>
      <w:r w:rsidR="007E7A74" w:rsidRPr="009D0076">
        <w:rPr>
          <w:rFonts w:asciiTheme="majorHAnsi" w:hAnsiTheme="majorHAnsi"/>
        </w:rPr>
        <w:t xml:space="preserve"> re</w:t>
      </w:r>
      <w:r w:rsidRPr="009D0076">
        <w:rPr>
          <w:rFonts w:asciiTheme="majorHAnsi" w:hAnsiTheme="majorHAnsi"/>
        </w:rPr>
        <w:t>flect the bi</w:t>
      </w:r>
      <w:r w:rsidR="002F69BE" w:rsidRPr="009D0076">
        <w:rPr>
          <w:rFonts w:asciiTheme="majorHAnsi" w:hAnsiTheme="majorHAnsi"/>
        </w:rPr>
        <w:noBreakHyphen/>
      </w:r>
      <w:r w:rsidRPr="009D0076">
        <w:rPr>
          <w:rFonts w:asciiTheme="majorHAnsi" w:hAnsiTheme="majorHAnsi"/>
        </w:rPr>
        <w:t xml:space="preserve">annual payment of the allowance on 1 July and 1 January respectively. </w:t>
      </w:r>
    </w:p>
    <w:p w:rsidR="00B54786" w:rsidRPr="009D0076" w:rsidRDefault="00B54786" w:rsidP="006C5162">
      <w:pPr>
        <w:spacing w:after="120"/>
        <w:contextualSpacing/>
        <w:rPr>
          <w:rFonts w:asciiTheme="majorHAnsi" w:hAnsiTheme="majorHAnsi"/>
        </w:rPr>
      </w:pPr>
    </w:p>
    <w:p w:rsidR="00B54786" w:rsidRPr="009D0076" w:rsidRDefault="00B54786" w:rsidP="006C5162">
      <w:pPr>
        <w:spacing w:after="120"/>
        <w:contextualSpacing/>
        <w:rPr>
          <w:rFonts w:asciiTheme="majorHAnsi" w:hAnsiTheme="majorHAnsi"/>
        </w:rPr>
      </w:pPr>
      <w:r w:rsidRPr="009D0076">
        <w:rPr>
          <w:rFonts w:asciiTheme="majorHAnsi" w:hAnsiTheme="majorHAnsi"/>
        </w:rPr>
        <w:t xml:space="preserve">At the end of the </w:t>
      </w:r>
      <w:r w:rsidR="00F7483C" w:rsidRPr="009D0076">
        <w:rPr>
          <w:rFonts w:asciiTheme="majorHAnsi" w:hAnsiTheme="majorHAnsi"/>
        </w:rPr>
        <w:t>bi-annual period</w:t>
      </w:r>
      <w:r w:rsidR="00814BCC" w:rsidRPr="009D0076">
        <w:rPr>
          <w:rFonts w:asciiTheme="majorHAnsi" w:hAnsiTheme="majorHAnsi"/>
        </w:rPr>
        <w:t xml:space="preserve"> (1 July to 31 December)</w:t>
      </w:r>
      <w:r w:rsidR="00F7483C" w:rsidRPr="009D0076">
        <w:rPr>
          <w:rFonts w:asciiTheme="majorHAnsi" w:hAnsiTheme="majorHAnsi"/>
        </w:rPr>
        <w:t xml:space="preserve"> </w:t>
      </w:r>
      <w:r w:rsidRPr="009D0076">
        <w:rPr>
          <w:rFonts w:asciiTheme="majorHAnsi" w:hAnsiTheme="majorHAnsi"/>
        </w:rPr>
        <w:t>each Member is required to verify the information provided in the electronic system developed by the Parliamentary Service and certify to the Clerk that the information in the system is correct. This report</w:t>
      </w:r>
      <w:r w:rsidR="00F7483C" w:rsidRPr="009D0076">
        <w:rPr>
          <w:rFonts w:asciiTheme="majorHAnsi" w:hAnsiTheme="majorHAnsi"/>
        </w:rPr>
        <w:t xml:space="preserve"> is not made publicly available, but may be requested by the Tribunal for </w:t>
      </w:r>
      <w:r w:rsidR="00104C32" w:rsidRPr="009D0076">
        <w:rPr>
          <w:rFonts w:asciiTheme="majorHAnsi" w:hAnsiTheme="majorHAnsi"/>
        </w:rPr>
        <w:t xml:space="preserve">expenditure </w:t>
      </w:r>
      <w:r w:rsidR="00F7483C" w:rsidRPr="009D0076">
        <w:rPr>
          <w:rFonts w:asciiTheme="majorHAnsi" w:hAnsiTheme="majorHAnsi"/>
        </w:rPr>
        <w:t xml:space="preserve">trend </w:t>
      </w:r>
      <w:r w:rsidR="00CC6F12" w:rsidRPr="009D0076">
        <w:rPr>
          <w:rFonts w:asciiTheme="majorHAnsi" w:hAnsiTheme="majorHAnsi"/>
        </w:rPr>
        <w:t xml:space="preserve">and issue </w:t>
      </w:r>
      <w:r w:rsidR="00F7483C" w:rsidRPr="009D0076">
        <w:rPr>
          <w:rFonts w:asciiTheme="majorHAnsi" w:hAnsiTheme="majorHAnsi"/>
        </w:rPr>
        <w:t xml:space="preserve">analysis. </w:t>
      </w:r>
    </w:p>
    <w:p w:rsidR="00B54786" w:rsidRPr="009D0076" w:rsidRDefault="00B54786" w:rsidP="006C5162">
      <w:pPr>
        <w:spacing w:after="120"/>
        <w:contextualSpacing/>
        <w:rPr>
          <w:rFonts w:asciiTheme="majorHAnsi" w:hAnsiTheme="majorHAnsi"/>
        </w:rPr>
      </w:pPr>
    </w:p>
    <w:p w:rsidR="00F7483C" w:rsidRPr="009D0076" w:rsidRDefault="00F7483C" w:rsidP="006C5162">
      <w:pPr>
        <w:spacing w:after="120"/>
        <w:contextualSpacing/>
        <w:rPr>
          <w:rFonts w:asciiTheme="majorHAnsi" w:hAnsiTheme="majorHAnsi"/>
        </w:rPr>
      </w:pPr>
      <w:r w:rsidRPr="009D0076">
        <w:rPr>
          <w:rFonts w:asciiTheme="majorHAnsi" w:hAnsiTheme="majorHAnsi"/>
        </w:rPr>
        <w:t>At the end of the annual period (1 July to 30 June) the Clerk determines the relevant carryover amount of under-expenditure of the allowance (up to 10%) to be carried over to the next financial year as per Determination 2/2013</w:t>
      </w:r>
      <w:r w:rsidR="00CC6F12" w:rsidRPr="009D0076">
        <w:rPr>
          <w:rFonts w:asciiTheme="majorHAnsi" w:hAnsiTheme="majorHAnsi"/>
        </w:rPr>
        <w:t xml:space="preserve">. Members are required to certify that the reported expenditure </w:t>
      </w:r>
      <w:r w:rsidR="00E646CE" w:rsidRPr="009D0076">
        <w:rPr>
          <w:rFonts w:asciiTheme="majorHAnsi" w:hAnsiTheme="majorHAnsi"/>
        </w:rPr>
        <w:t xml:space="preserve">for the full financial year acquitted </w:t>
      </w:r>
      <w:r w:rsidR="00CC6F12" w:rsidRPr="009D0076">
        <w:rPr>
          <w:rFonts w:asciiTheme="majorHAnsi" w:hAnsiTheme="majorHAnsi"/>
        </w:rPr>
        <w:t>against the allowance is correct. The Clerk then tables this information in an annual report in the Legislative Assembly.</w:t>
      </w:r>
    </w:p>
    <w:p w:rsidR="00E646CE" w:rsidRPr="009D0076" w:rsidRDefault="00E646CE" w:rsidP="006C5162">
      <w:pPr>
        <w:spacing w:after="120"/>
        <w:contextualSpacing/>
        <w:rPr>
          <w:rFonts w:asciiTheme="majorHAnsi" w:hAnsiTheme="majorHAnsi"/>
        </w:rPr>
      </w:pPr>
    </w:p>
    <w:p w:rsidR="00E646CE" w:rsidRPr="009D0076" w:rsidRDefault="00814BCC" w:rsidP="006C5162">
      <w:pPr>
        <w:spacing w:after="120"/>
        <w:contextualSpacing/>
        <w:rPr>
          <w:rFonts w:asciiTheme="majorHAnsi" w:hAnsiTheme="majorHAnsi"/>
        </w:rPr>
      </w:pPr>
      <w:r w:rsidRPr="009D0076">
        <w:rPr>
          <w:rFonts w:asciiTheme="majorHAnsi" w:hAnsiTheme="majorHAnsi"/>
        </w:rPr>
        <w:t xml:space="preserve">Determination 1/2013 also required </w:t>
      </w:r>
      <w:r w:rsidR="00E646CE" w:rsidRPr="009D0076">
        <w:rPr>
          <w:rFonts w:asciiTheme="majorHAnsi" w:hAnsiTheme="majorHAnsi"/>
        </w:rPr>
        <w:t>the Clerk to conduct a</w:t>
      </w:r>
      <w:r w:rsidRPr="009D0076">
        <w:rPr>
          <w:rFonts w:asciiTheme="majorHAnsi" w:hAnsiTheme="majorHAnsi"/>
        </w:rPr>
        <w:t xml:space="preserve"> yearly</w:t>
      </w:r>
      <w:r w:rsidR="00E646CE" w:rsidRPr="009D0076">
        <w:rPr>
          <w:rFonts w:asciiTheme="majorHAnsi" w:hAnsiTheme="majorHAnsi"/>
        </w:rPr>
        <w:t xml:space="preserve"> random audit of acquittals and supporting documentation to test compliance. </w:t>
      </w:r>
      <w:r w:rsidRPr="009D0076">
        <w:rPr>
          <w:rFonts w:asciiTheme="majorHAnsi" w:hAnsiTheme="majorHAnsi"/>
        </w:rPr>
        <w:t xml:space="preserve">The Clerk was also required to establish information and administrative systems to facilitate the reporting process and communicate with members regarding their obligations in this regard. An electronic acquittal and information system has since been established by the Parliamentary Service </w:t>
      </w:r>
      <w:r w:rsidR="00513ECF" w:rsidRPr="009D0076">
        <w:rPr>
          <w:rFonts w:asciiTheme="majorHAnsi" w:hAnsiTheme="majorHAnsi"/>
        </w:rPr>
        <w:t xml:space="preserve">(the </w:t>
      </w:r>
      <w:r w:rsidR="00513ECF" w:rsidRPr="006C5162">
        <w:rPr>
          <w:rFonts w:asciiTheme="majorHAnsi" w:hAnsiTheme="majorHAnsi"/>
        </w:rPr>
        <w:t xml:space="preserve">Acquittal </w:t>
      </w:r>
      <w:r w:rsidR="00513ECF" w:rsidRPr="009D0076">
        <w:rPr>
          <w:rFonts w:asciiTheme="majorHAnsi" w:hAnsiTheme="majorHAnsi"/>
        </w:rPr>
        <w:t xml:space="preserve">System) </w:t>
      </w:r>
      <w:r w:rsidRPr="009D0076">
        <w:rPr>
          <w:rFonts w:asciiTheme="majorHAnsi" w:hAnsiTheme="majorHAnsi"/>
        </w:rPr>
        <w:t>allowing real</w:t>
      </w:r>
      <w:r w:rsidR="00513ECF" w:rsidRPr="009D0076">
        <w:rPr>
          <w:rFonts w:asciiTheme="majorHAnsi" w:hAnsiTheme="majorHAnsi"/>
        </w:rPr>
        <w:noBreakHyphen/>
      </w:r>
      <w:r w:rsidRPr="009D0076">
        <w:rPr>
          <w:rFonts w:asciiTheme="majorHAnsi" w:hAnsiTheme="majorHAnsi"/>
        </w:rPr>
        <w:t xml:space="preserve">time information flow on acquittals and expenditure against the allowance. </w:t>
      </w:r>
    </w:p>
    <w:p w:rsidR="00B54786" w:rsidRPr="009D0076" w:rsidRDefault="00B54786" w:rsidP="006C5162">
      <w:pPr>
        <w:spacing w:after="120"/>
        <w:contextualSpacing/>
        <w:rPr>
          <w:rFonts w:asciiTheme="majorHAnsi" w:hAnsiTheme="majorHAnsi"/>
        </w:rPr>
      </w:pPr>
    </w:p>
    <w:p w:rsidR="00F7483C" w:rsidRPr="009D0076" w:rsidRDefault="00F7483C" w:rsidP="006C5162">
      <w:pPr>
        <w:spacing w:after="120"/>
        <w:rPr>
          <w:rFonts w:asciiTheme="majorHAnsi" w:hAnsiTheme="majorHAnsi"/>
          <w:b/>
        </w:rPr>
      </w:pPr>
      <w:r w:rsidRPr="009D0076">
        <w:rPr>
          <w:rFonts w:asciiTheme="majorHAnsi" w:hAnsiTheme="majorHAnsi"/>
          <w:b/>
        </w:rPr>
        <w:t xml:space="preserve">Analysis </w:t>
      </w:r>
    </w:p>
    <w:p w:rsidR="00513ECF" w:rsidRPr="009D0076" w:rsidRDefault="00513ECF" w:rsidP="006C5162">
      <w:pPr>
        <w:spacing w:after="120"/>
        <w:contextualSpacing/>
        <w:rPr>
          <w:rFonts w:asciiTheme="majorHAnsi" w:hAnsiTheme="majorHAnsi"/>
        </w:rPr>
      </w:pPr>
      <w:r w:rsidRPr="009D0076">
        <w:rPr>
          <w:rFonts w:asciiTheme="majorHAnsi" w:hAnsiTheme="majorHAnsi"/>
        </w:rPr>
        <w:t xml:space="preserve">The Tribunal is of the view that the bi-annual report following the first bi-annual period of 1 July to 31 December is no longer necessary for the following reasons: </w:t>
      </w:r>
    </w:p>
    <w:p w:rsidR="00104C32" w:rsidRPr="009D0076" w:rsidRDefault="00513ECF" w:rsidP="006C5162">
      <w:pPr>
        <w:pStyle w:val="ListParagraph"/>
        <w:numPr>
          <w:ilvl w:val="0"/>
          <w:numId w:val="8"/>
        </w:numPr>
        <w:spacing w:after="120"/>
        <w:rPr>
          <w:rFonts w:asciiTheme="majorHAnsi" w:hAnsiTheme="majorHAnsi"/>
        </w:rPr>
      </w:pPr>
      <w:r w:rsidRPr="009D0076">
        <w:rPr>
          <w:rFonts w:asciiTheme="majorHAnsi" w:hAnsiTheme="majorHAnsi"/>
        </w:rPr>
        <w:t xml:space="preserve">with the establishment of the electronic </w:t>
      </w:r>
      <w:r w:rsidRPr="006C5162">
        <w:rPr>
          <w:rFonts w:asciiTheme="majorHAnsi" w:hAnsiTheme="majorHAnsi"/>
        </w:rPr>
        <w:t>Acquittal System</w:t>
      </w:r>
      <w:r w:rsidRPr="009D0076">
        <w:rPr>
          <w:rFonts w:asciiTheme="majorHAnsi" w:hAnsiTheme="majorHAnsi"/>
          <w:i/>
        </w:rPr>
        <w:t>,</w:t>
      </w:r>
      <w:r w:rsidRPr="009D0076">
        <w:rPr>
          <w:rFonts w:asciiTheme="majorHAnsi" w:hAnsiTheme="majorHAnsi"/>
        </w:rPr>
        <w:t xml:space="preserve"> information</w:t>
      </w:r>
      <w:r w:rsidR="00104C32" w:rsidRPr="009D0076">
        <w:rPr>
          <w:rFonts w:asciiTheme="majorHAnsi" w:hAnsiTheme="majorHAnsi"/>
        </w:rPr>
        <w:t xml:space="preserve"> on trends and issues with the allowance</w:t>
      </w:r>
      <w:r w:rsidRPr="009D0076">
        <w:rPr>
          <w:rFonts w:asciiTheme="majorHAnsi" w:hAnsiTheme="majorHAnsi"/>
        </w:rPr>
        <w:t>s</w:t>
      </w:r>
      <w:r w:rsidR="00104C32" w:rsidRPr="009D0076">
        <w:rPr>
          <w:rFonts w:asciiTheme="majorHAnsi" w:hAnsiTheme="majorHAnsi"/>
        </w:rPr>
        <w:t xml:space="preserve"> system are available </w:t>
      </w:r>
      <w:r w:rsidR="003D4980" w:rsidRPr="009D0076">
        <w:rPr>
          <w:rFonts w:asciiTheme="majorHAnsi" w:hAnsiTheme="majorHAnsi"/>
        </w:rPr>
        <w:t xml:space="preserve">to the Parliamentary Service </w:t>
      </w:r>
      <w:r w:rsidR="00104C32" w:rsidRPr="009D0076">
        <w:rPr>
          <w:rFonts w:asciiTheme="majorHAnsi" w:hAnsiTheme="majorHAnsi"/>
        </w:rPr>
        <w:t xml:space="preserve">throughout the year </w:t>
      </w:r>
    </w:p>
    <w:p w:rsidR="00513ECF" w:rsidRPr="009D0076" w:rsidRDefault="00513ECF" w:rsidP="006C5162">
      <w:pPr>
        <w:pStyle w:val="ListParagraph"/>
        <w:numPr>
          <w:ilvl w:val="0"/>
          <w:numId w:val="8"/>
        </w:numPr>
        <w:spacing w:after="120"/>
        <w:rPr>
          <w:rFonts w:asciiTheme="majorHAnsi" w:hAnsiTheme="majorHAnsi"/>
        </w:rPr>
      </w:pPr>
      <w:r w:rsidRPr="009D0076">
        <w:rPr>
          <w:rFonts w:asciiTheme="majorHAnsi" w:hAnsiTheme="majorHAnsi"/>
        </w:rPr>
        <w:t>the bi-annual report is administratively burdensome and is only used internally by the Parliamentary Service and Tribunal when required</w:t>
      </w:r>
    </w:p>
    <w:p w:rsidR="00513ECF" w:rsidRPr="009D0076" w:rsidRDefault="00513ECF" w:rsidP="006C5162">
      <w:pPr>
        <w:pStyle w:val="ListParagraph"/>
        <w:numPr>
          <w:ilvl w:val="0"/>
          <w:numId w:val="8"/>
        </w:numPr>
        <w:spacing w:after="120"/>
        <w:rPr>
          <w:rFonts w:asciiTheme="majorHAnsi" w:hAnsiTheme="majorHAnsi"/>
        </w:rPr>
      </w:pPr>
      <w:r w:rsidRPr="009D0076">
        <w:rPr>
          <w:rFonts w:asciiTheme="majorHAnsi" w:hAnsiTheme="majorHAnsi"/>
        </w:rPr>
        <w:t>the annual report tabled in the Legislative Assembly covers the full financial year and expenditure against the allowance for the full annual period</w:t>
      </w:r>
    </w:p>
    <w:p w:rsidR="00513ECF" w:rsidRPr="009D0076" w:rsidRDefault="00513ECF" w:rsidP="006C5162">
      <w:pPr>
        <w:pStyle w:val="ListParagraph"/>
        <w:numPr>
          <w:ilvl w:val="0"/>
          <w:numId w:val="8"/>
        </w:numPr>
        <w:spacing w:after="120"/>
        <w:rPr>
          <w:rFonts w:asciiTheme="majorHAnsi" w:hAnsiTheme="majorHAnsi"/>
        </w:rPr>
      </w:pPr>
      <w:r w:rsidRPr="009D0076">
        <w:rPr>
          <w:rFonts w:asciiTheme="majorHAnsi" w:hAnsiTheme="majorHAnsi"/>
        </w:rPr>
        <w:t>the Clerk conducts a yearly random audit of acquittals and supporting documentation to test compliance</w:t>
      </w:r>
    </w:p>
    <w:p w:rsidR="00513ECF" w:rsidRPr="009D0076" w:rsidRDefault="00513ECF" w:rsidP="006C5162">
      <w:pPr>
        <w:pStyle w:val="ListParagraph"/>
        <w:numPr>
          <w:ilvl w:val="0"/>
          <w:numId w:val="8"/>
        </w:numPr>
        <w:spacing w:after="120"/>
        <w:rPr>
          <w:rFonts w:asciiTheme="majorHAnsi" w:hAnsiTheme="majorHAnsi"/>
        </w:rPr>
      </w:pPr>
      <w:r w:rsidRPr="009D0076">
        <w:rPr>
          <w:rFonts w:asciiTheme="majorHAnsi" w:hAnsiTheme="majorHAnsi"/>
        </w:rPr>
        <w:t>the carry-over of up to 10% of under-expenditure of the allowance is calculated annually</w:t>
      </w:r>
      <w:r w:rsidR="00A731DD" w:rsidRPr="009D0076">
        <w:rPr>
          <w:rFonts w:asciiTheme="majorHAnsi" w:hAnsiTheme="majorHAnsi"/>
        </w:rPr>
        <w:t>, and</w:t>
      </w:r>
    </w:p>
    <w:p w:rsidR="00A731DD" w:rsidRPr="009D0076" w:rsidRDefault="00A731DD" w:rsidP="006C5162">
      <w:pPr>
        <w:pStyle w:val="ListParagraph"/>
        <w:numPr>
          <w:ilvl w:val="0"/>
          <w:numId w:val="8"/>
        </w:numPr>
        <w:spacing w:after="120"/>
        <w:rPr>
          <w:rFonts w:asciiTheme="majorHAnsi" w:hAnsiTheme="majorHAnsi"/>
        </w:rPr>
      </w:pPr>
      <w:r w:rsidRPr="009D0076">
        <w:rPr>
          <w:rFonts w:asciiTheme="majorHAnsi" w:hAnsiTheme="majorHAnsi"/>
        </w:rPr>
        <w:t>while the allowance is paid bi-annually, there is no requirement for a member to spend this bi-annual payment by the halfway point of the year.</w:t>
      </w:r>
    </w:p>
    <w:p w:rsidR="00104C32" w:rsidRPr="009D0076" w:rsidRDefault="00104C32" w:rsidP="006C5162">
      <w:pPr>
        <w:spacing w:after="120"/>
        <w:contextualSpacing/>
        <w:rPr>
          <w:rFonts w:asciiTheme="majorHAnsi" w:hAnsiTheme="majorHAnsi"/>
        </w:rPr>
      </w:pPr>
    </w:p>
    <w:p w:rsidR="00E2676D" w:rsidRPr="009D0076" w:rsidRDefault="00F15ED4" w:rsidP="006C5162">
      <w:pPr>
        <w:spacing w:after="120"/>
        <w:contextualSpacing/>
        <w:rPr>
          <w:rFonts w:asciiTheme="majorHAnsi" w:hAnsiTheme="majorHAnsi"/>
        </w:rPr>
      </w:pPr>
      <w:r w:rsidRPr="009D0076">
        <w:rPr>
          <w:rFonts w:asciiTheme="majorHAnsi" w:hAnsiTheme="majorHAnsi"/>
        </w:rPr>
        <w:t xml:space="preserve">As such, the requirement for the Clerk to complete a bi-annual report following 31 December each year will be removed. </w:t>
      </w:r>
    </w:p>
    <w:p w:rsidR="00E2676D" w:rsidRPr="009D0076" w:rsidRDefault="00E2676D" w:rsidP="006C5162">
      <w:pPr>
        <w:spacing w:after="120"/>
        <w:contextualSpacing/>
        <w:rPr>
          <w:rFonts w:asciiTheme="majorHAnsi" w:hAnsiTheme="majorHAnsi"/>
        </w:rPr>
      </w:pPr>
    </w:p>
    <w:p w:rsidR="00E2676D" w:rsidRPr="009D0076" w:rsidRDefault="007319F4" w:rsidP="006C5162">
      <w:pPr>
        <w:pStyle w:val="Heading2"/>
        <w:spacing w:before="0" w:after="120"/>
        <w:contextualSpacing/>
      </w:pPr>
      <w:r w:rsidRPr="009D0076">
        <w:t>Fuel reimbursement where there are no taxis or hire cars available</w:t>
      </w:r>
    </w:p>
    <w:p w:rsidR="008B585F" w:rsidRPr="009D0076" w:rsidRDefault="008B585F" w:rsidP="006C5162">
      <w:pPr>
        <w:spacing w:after="120"/>
        <w:rPr>
          <w:rFonts w:asciiTheme="majorHAnsi" w:hAnsiTheme="majorHAnsi"/>
          <w:b/>
        </w:rPr>
      </w:pPr>
      <w:r w:rsidRPr="009D0076">
        <w:rPr>
          <w:rFonts w:asciiTheme="majorHAnsi" w:hAnsiTheme="majorHAnsi"/>
          <w:b/>
        </w:rPr>
        <w:t>Background</w:t>
      </w:r>
    </w:p>
    <w:p w:rsidR="00F15ED4" w:rsidRPr="009D0076" w:rsidRDefault="00E2676D" w:rsidP="006C5162">
      <w:pPr>
        <w:spacing w:after="120"/>
        <w:contextualSpacing/>
        <w:rPr>
          <w:rFonts w:asciiTheme="majorHAnsi" w:hAnsiTheme="majorHAnsi"/>
        </w:rPr>
      </w:pPr>
      <w:r w:rsidRPr="009D0076">
        <w:rPr>
          <w:rFonts w:asciiTheme="majorHAnsi" w:hAnsiTheme="majorHAnsi"/>
        </w:rPr>
        <w:t xml:space="preserve">The Tribunal has been made aware </w:t>
      </w:r>
      <w:r w:rsidR="00F15ED4" w:rsidRPr="009D0076">
        <w:rPr>
          <w:rFonts w:asciiTheme="majorHAnsi" w:hAnsiTheme="majorHAnsi"/>
        </w:rPr>
        <w:t xml:space="preserve">that Members in </w:t>
      </w:r>
      <w:r w:rsidR="007319F4" w:rsidRPr="009D0076">
        <w:rPr>
          <w:rFonts w:asciiTheme="majorHAnsi" w:hAnsiTheme="majorHAnsi"/>
        </w:rPr>
        <w:t>some electorates</w:t>
      </w:r>
      <w:r w:rsidR="00F15ED4" w:rsidRPr="009D0076">
        <w:rPr>
          <w:rFonts w:asciiTheme="majorHAnsi" w:hAnsiTheme="majorHAnsi"/>
        </w:rPr>
        <w:t xml:space="preserve"> visit towns and areas within their electorate where there are no taxis or other viable hire car arrangements</w:t>
      </w:r>
      <w:r w:rsidR="00F967EE" w:rsidRPr="009D0076">
        <w:rPr>
          <w:rFonts w:asciiTheme="majorHAnsi" w:hAnsiTheme="majorHAnsi"/>
        </w:rPr>
        <w:t xml:space="preserve">. </w:t>
      </w:r>
      <w:r w:rsidR="008B585F" w:rsidRPr="009D0076">
        <w:rPr>
          <w:rFonts w:asciiTheme="majorHAnsi" w:hAnsiTheme="majorHAnsi"/>
        </w:rPr>
        <w:t>T</w:t>
      </w:r>
      <w:r w:rsidR="00F15ED4" w:rsidRPr="009D0076">
        <w:rPr>
          <w:rFonts w:asciiTheme="majorHAnsi" w:hAnsiTheme="majorHAnsi"/>
        </w:rPr>
        <w:t xml:space="preserve">here is </w:t>
      </w:r>
      <w:r w:rsidR="00F967EE" w:rsidRPr="009D0076">
        <w:rPr>
          <w:rFonts w:asciiTheme="majorHAnsi" w:hAnsiTheme="majorHAnsi"/>
        </w:rPr>
        <w:t xml:space="preserve">currently </w:t>
      </w:r>
      <w:r w:rsidR="00F15ED4" w:rsidRPr="009D0076">
        <w:rPr>
          <w:rFonts w:asciiTheme="majorHAnsi" w:hAnsiTheme="majorHAnsi"/>
        </w:rPr>
        <w:t>no provision for reimbursement of fuel costs for ‘borrowed’ cars in remote areas</w:t>
      </w:r>
      <w:r w:rsidR="00605065">
        <w:rPr>
          <w:rFonts w:asciiTheme="majorHAnsi" w:hAnsiTheme="majorHAnsi"/>
        </w:rPr>
        <w:t>.</w:t>
      </w:r>
    </w:p>
    <w:p w:rsidR="00F15ED4" w:rsidRPr="009D0076" w:rsidRDefault="00F15ED4" w:rsidP="006C5162">
      <w:pPr>
        <w:spacing w:after="120"/>
        <w:contextualSpacing/>
        <w:rPr>
          <w:rFonts w:asciiTheme="majorHAnsi" w:hAnsiTheme="majorHAnsi"/>
        </w:rPr>
      </w:pPr>
    </w:p>
    <w:p w:rsidR="00E2676D" w:rsidRPr="009D0076" w:rsidRDefault="008B585F" w:rsidP="006C5162">
      <w:pPr>
        <w:spacing w:after="120"/>
        <w:contextualSpacing/>
        <w:rPr>
          <w:rFonts w:asciiTheme="majorHAnsi" w:hAnsiTheme="majorHAnsi"/>
        </w:rPr>
      </w:pPr>
      <w:r w:rsidRPr="009D0076">
        <w:rPr>
          <w:rFonts w:asciiTheme="majorHAnsi" w:hAnsiTheme="majorHAnsi"/>
        </w:rPr>
        <w:t xml:space="preserve">The Motor Vehicle Allowance (MVA) covers expenditure incurred in acquiring and maintaining a Member’s vehicle and as such cannot be used to reimburse fuel costs for a car that is not the </w:t>
      </w:r>
      <w:r w:rsidR="00C42288">
        <w:rPr>
          <w:rFonts w:asciiTheme="majorHAnsi" w:hAnsiTheme="majorHAnsi"/>
        </w:rPr>
        <w:t>M</w:t>
      </w:r>
      <w:r w:rsidRPr="009D0076">
        <w:rPr>
          <w:rFonts w:asciiTheme="majorHAnsi" w:hAnsiTheme="majorHAnsi"/>
        </w:rPr>
        <w:t xml:space="preserve">ember’s vehicle. </w:t>
      </w:r>
    </w:p>
    <w:p w:rsidR="008B585F" w:rsidRPr="009D0076" w:rsidRDefault="008B585F" w:rsidP="006C5162">
      <w:pPr>
        <w:spacing w:after="120"/>
        <w:contextualSpacing/>
        <w:rPr>
          <w:rFonts w:asciiTheme="majorHAnsi" w:hAnsiTheme="majorHAnsi"/>
        </w:rPr>
      </w:pPr>
    </w:p>
    <w:p w:rsidR="008B585F" w:rsidRPr="009D0076" w:rsidRDefault="00C42288" w:rsidP="006C5162">
      <w:pPr>
        <w:spacing w:after="120"/>
        <w:contextualSpacing/>
        <w:rPr>
          <w:rFonts w:asciiTheme="majorHAnsi" w:hAnsiTheme="majorHAnsi"/>
        </w:rPr>
      </w:pPr>
      <w:r>
        <w:rPr>
          <w:rFonts w:asciiTheme="majorHAnsi" w:hAnsiTheme="majorHAnsi"/>
        </w:rPr>
        <w:lastRenderedPageBreak/>
        <w:t xml:space="preserve">Under the </w:t>
      </w:r>
      <w:r w:rsidR="008B585F" w:rsidRPr="009D0076">
        <w:rPr>
          <w:rFonts w:asciiTheme="majorHAnsi" w:hAnsiTheme="majorHAnsi"/>
        </w:rPr>
        <w:t xml:space="preserve">General Travel Allocation (GTA) the following types of expenditure related to this </w:t>
      </w:r>
      <w:r>
        <w:rPr>
          <w:rFonts w:asciiTheme="majorHAnsi" w:hAnsiTheme="majorHAnsi"/>
        </w:rPr>
        <w:t xml:space="preserve">matter </w:t>
      </w:r>
      <w:r w:rsidR="008B585F" w:rsidRPr="009D0076">
        <w:rPr>
          <w:rFonts w:asciiTheme="majorHAnsi" w:hAnsiTheme="majorHAnsi"/>
        </w:rPr>
        <w:t>may be claimed:</w:t>
      </w:r>
    </w:p>
    <w:p w:rsidR="008B585F" w:rsidRPr="009D0076" w:rsidRDefault="008B585F" w:rsidP="006C5162">
      <w:pPr>
        <w:pStyle w:val="ListParagraph"/>
        <w:numPr>
          <w:ilvl w:val="0"/>
          <w:numId w:val="9"/>
        </w:numPr>
        <w:spacing w:after="120"/>
        <w:rPr>
          <w:rFonts w:asciiTheme="majorHAnsi" w:hAnsiTheme="majorHAnsi"/>
        </w:rPr>
      </w:pPr>
      <w:r w:rsidRPr="009D0076">
        <w:rPr>
          <w:rFonts w:asciiTheme="majorHAnsi" w:hAnsiTheme="majorHAnsi"/>
        </w:rPr>
        <w:t>reimbursement of direct operating costs associated with a Member’s private aircraft, and</w:t>
      </w:r>
    </w:p>
    <w:p w:rsidR="008B585F" w:rsidRPr="009D0076" w:rsidRDefault="008B585F" w:rsidP="006C5162">
      <w:pPr>
        <w:pStyle w:val="ListParagraph"/>
        <w:numPr>
          <w:ilvl w:val="0"/>
          <w:numId w:val="9"/>
        </w:numPr>
        <w:spacing w:after="120"/>
        <w:rPr>
          <w:rFonts w:asciiTheme="majorHAnsi" w:hAnsiTheme="majorHAnsi"/>
        </w:rPr>
      </w:pPr>
      <w:r w:rsidRPr="009D0076">
        <w:rPr>
          <w:rFonts w:asciiTheme="majorHAnsi" w:hAnsiTheme="majorHAnsi"/>
        </w:rPr>
        <w:t xml:space="preserve">short term car hire, taxis and connecting services. </w:t>
      </w:r>
    </w:p>
    <w:p w:rsidR="00F967EE" w:rsidRPr="009D0076" w:rsidRDefault="00F967EE" w:rsidP="006C5162">
      <w:pPr>
        <w:spacing w:after="120"/>
        <w:contextualSpacing/>
        <w:rPr>
          <w:rFonts w:asciiTheme="majorHAnsi" w:hAnsiTheme="majorHAnsi"/>
        </w:rPr>
      </w:pPr>
      <w:r w:rsidRPr="009D0076">
        <w:rPr>
          <w:rFonts w:asciiTheme="majorHAnsi" w:hAnsiTheme="majorHAnsi"/>
        </w:rPr>
        <w:t>Fuel costs directly associated with car hire and a Member’s private aircraft are reimbursed under the GTA.</w:t>
      </w:r>
    </w:p>
    <w:p w:rsidR="00F967EE" w:rsidRPr="009D0076" w:rsidRDefault="00F967EE" w:rsidP="006C5162">
      <w:pPr>
        <w:spacing w:after="120"/>
        <w:contextualSpacing/>
        <w:rPr>
          <w:rFonts w:asciiTheme="majorHAnsi" w:hAnsiTheme="majorHAnsi"/>
        </w:rPr>
      </w:pPr>
    </w:p>
    <w:p w:rsidR="00F967EE" w:rsidRPr="009D0076" w:rsidRDefault="00F967EE" w:rsidP="006C5162">
      <w:pPr>
        <w:spacing w:after="120"/>
        <w:rPr>
          <w:rFonts w:asciiTheme="majorHAnsi" w:hAnsiTheme="majorHAnsi"/>
          <w:b/>
        </w:rPr>
      </w:pPr>
      <w:r w:rsidRPr="009D0076">
        <w:rPr>
          <w:rFonts w:asciiTheme="majorHAnsi" w:hAnsiTheme="majorHAnsi"/>
          <w:b/>
        </w:rPr>
        <w:t xml:space="preserve">Analysis </w:t>
      </w:r>
    </w:p>
    <w:p w:rsidR="00E2676D" w:rsidRPr="009D0076" w:rsidRDefault="00F967EE" w:rsidP="006C5162">
      <w:pPr>
        <w:spacing w:after="120"/>
        <w:contextualSpacing/>
        <w:rPr>
          <w:rFonts w:asciiTheme="majorHAnsi" w:hAnsiTheme="majorHAnsi"/>
        </w:rPr>
      </w:pPr>
      <w:r w:rsidRPr="009D0076">
        <w:rPr>
          <w:rFonts w:asciiTheme="majorHAnsi" w:hAnsiTheme="majorHAnsi"/>
        </w:rPr>
        <w:t xml:space="preserve">The Tribunal </w:t>
      </w:r>
      <w:r w:rsidR="007319F4" w:rsidRPr="009D0076">
        <w:rPr>
          <w:rFonts w:asciiTheme="majorHAnsi" w:hAnsiTheme="majorHAnsi"/>
        </w:rPr>
        <w:t>is of the view that provision should be made for the reimbursement of fuel costs for ‘borrowed’ vehicles for the following reasons:</w:t>
      </w:r>
    </w:p>
    <w:p w:rsidR="007319F4" w:rsidRPr="009D0076" w:rsidRDefault="007319F4" w:rsidP="006C5162">
      <w:pPr>
        <w:pStyle w:val="ListParagraph"/>
        <w:numPr>
          <w:ilvl w:val="0"/>
          <w:numId w:val="10"/>
        </w:numPr>
        <w:spacing w:after="120"/>
        <w:rPr>
          <w:rFonts w:asciiTheme="majorHAnsi" w:hAnsiTheme="majorHAnsi"/>
        </w:rPr>
      </w:pPr>
      <w:r w:rsidRPr="009D0076">
        <w:rPr>
          <w:rFonts w:asciiTheme="majorHAnsi" w:hAnsiTheme="majorHAnsi"/>
        </w:rPr>
        <w:t>the Member is conducting Parliamentary Business and has a legitimate need for a vehicle</w:t>
      </w:r>
    </w:p>
    <w:p w:rsidR="007319F4" w:rsidRPr="009D0076" w:rsidRDefault="007319F4" w:rsidP="006C5162">
      <w:pPr>
        <w:pStyle w:val="ListParagraph"/>
        <w:numPr>
          <w:ilvl w:val="0"/>
          <w:numId w:val="10"/>
        </w:numPr>
        <w:spacing w:after="120"/>
        <w:rPr>
          <w:rFonts w:asciiTheme="majorHAnsi" w:hAnsiTheme="majorHAnsi"/>
        </w:rPr>
      </w:pPr>
      <w:r w:rsidRPr="009D0076">
        <w:rPr>
          <w:rFonts w:asciiTheme="majorHAnsi" w:hAnsiTheme="majorHAnsi"/>
        </w:rPr>
        <w:t>the Member would have hired a vehicle if there was one available, however they cannot do so because of the location</w:t>
      </w:r>
    </w:p>
    <w:p w:rsidR="007319F4" w:rsidRPr="009D0076" w:rsidRDefault="007319F4" w:rsidP="006C5162">
      <w:pPr>
        <w:pStyle w:val="ListParagraph"/>
        <w:numPr>
          <w:ilvl w:val="0"/>
          <w:numId w:val="10"/>
        </w:numPr>
        <w:spacing w:after="120"/>
        <w:rPr>
          <w:rFonts w:asciiTheme="majorHAnsi" w:hAnsiTheme="majorHAnsi"/>
        </w:rPr>
      </w:pPr>
      <w:r w:rsidRPr="009D0076">
        <w:rPr>
          <w:rFonts w:asciiTheme="majorHAnsi" w:hAnsiTheme="majorHAnsi"/>
        </w:rPr>
        <w:t>other vehicle own</w:t>
      </w:r>
      <w:r w:rsidR="006C5162">
        <w:rPr>
          <w:rFonts w:asciiTheme="majorHAnsi" w:hAnsiTheme="majorHAnsi"/>
        </w:rPr>
        <w:t>er</w:t>
      </w:r>
      <w:r w:rsidRPr="009D0076">
        <w:rPr>
          <w:rFonts w:asciiTheme="majorHAnsi" w:hAnsiTheme="majorHAnsi"/>
        </w:rPr>
        <w:t>s are happy to either drive or enable the Member to borrow their car and it is reasonable that the Member wants to compensate these persons for the direct costs they incur.</w:t>
      </w:r>
    </w:p>
    <w:p w:rsidR="007319F4" w:rsidRPr="009D0076" w:rsidRDefault="007319F4" w:rsidP="006C5162">
      <w:pPr>
        <w:spacing w:after="120"/>
        <w:contextualSpacing/>
        <w:rPr>
          <w:rFonts w:asciiTheme="majorHAnsi" w:hAnsiTheme="majorHAnsi"/>
        </w:rPr>
      </w:pPr>
    </w:p>
    <w:p w:rsidR="00CA2737" w:rsidRPr="009D0076" w:rsidRDefault="007319F4" w:rsidP="006C5162">
      <w:pPr>
        <w:spacing w:after="120"/>
        <w:contextualSpacing/>
        <w:rPr>
          <w:rFonts w:asciiTheme="majorHAnsi" w:hAnsiTheme="majorHAnsi"/>
        </w:rPr>
      </w:pPr>
      <w:r w:rsidRPr="009D0076">
        <w:rPr>
          <w:rFonts w:asciiTheme="majorHAnsi" w:hAnsiTheme="majorHAnsi"/>
        </w:rPr>
        <w:t>To access the fuel reimbursement for borrowed vehicles a certification would need to be completed by the Member to the effect that they were</w:t>
      </w:r>
      <w:r w:rsidR="00CA2737" w:rsidRPr="009D0076">
        <w:rPr>
          <w:rFonts w:asciiTheme="majorHAnsi" w:hAnsiTheme="majorHAnsi"/>
        </w:rPr>
        <w:t>:</w:t>
      </w:r>
    </w:p>
    <w:p w:rsidR="00CA2737" w:rsidRPr="009D0076" w:rsidRDefault="007319F4" w:rsidP="006C5162">
      <w:pPr>
        <w:pStyle w:val="ListParagraph"/>
        <w:numPr>
          <w:ilvl w:val="0"/>
          <w:numId w:val="11"/>
        </w:numPr>
        <w:spacing w:after="120"/>
        <w:rPr>
          <w:rFonts w:asciiTheme="majorHAnsi" w:hAnsiTheme="majorHAnsi"/>
        </w:rPr>
      </w:pPr>
      <w:r w:rsidRPr="009D0076">
        <w:rPr>
          <w:rFonts w:asciiTheme="majorHAnsi" w:hAnsiTheme="majorHAnsi"/>
        </w:rPr>
        <w:t>travelling on Parliamentary Business</w:t>
      </w:r>
    </w:p>
    <w:p w:rsidR="00CA2737" w:rsidRPr="009D0076" w:rsidRDefault="007319F4" w:rsidP="006C5162">
      <w:pPr>
        <w:pStyle w:val="ListParagraph"/>
        <w:numPr>
          <w:ilvl w:val="0"/>
          <w:numId w:val="11"/>
        </w:numPr>
        <w:spacing w:after="120"/>
        <w:rPr>
          <w:rFonts w:asciiTheme="majorHAnsi" w:hAnsiTheme="majorHAnsi"/>
        </w:rPr>
      </w:pPr>
      <w:r w:rsidRPr="009D0076">
        <w:rPr>
          <w:rFonts w:asciiTheme="majorHAnsi" w:hAnsiTheme="majorHAnsi"/>
        </w:rPr>
        <w:t>unable to secure taxi or hire car serv</w:t>
      </w:r>
      <w:r w:rsidR="006C5162">
        <w:rPr>
          <w:rFonts w:asciiTheme="majorHAnsi" w:hAnsiTheme="majorHAnsi"/>
        </w:rPr>
        <w:t xml:space="preserve">ices in the particular location, </w:t>
      </w:r>
      <w:r w:rsidR="00CA2737" w:rsidRPr="009D0076">
        <w:rPr>
          <w:rFonts w:asciiTheme="majorHAnsi" w:hAnsiTheme="majorHAnsi"/>
        </w:rPr>
        <w:t>and</w:t>
      </w:r>
    </w:p>
    <w:p w:rsidR="007319F4" w:rsidRPr="009D0076" w:rsidRDefault="00CA2737" w:rsidP="006C5162">
      <w:pPr>
        <w:pStyle w:val="ListParagraph"/>
        <w:numPr>
          <w:ilvl w:val="0"/>
          <w:numId w:val="11"/>
        </w:numPr>
        <w:spacing w:after="120"/>
        <w:rPr>
          <w:rFonts w:asciiTheme="majorHAnsi" w:hAnsiTheme="majorHAnsi"/>
        </w:rPr>
      </w:pPr>
      <w:r w:rsidRPr="009D0076">
        <w:rPr>
          <w:rFonts w:asciiTheme="majorHAnsi" w:hAnsiTheme="majorHAnsi"/>
        </w:rPr>
        <w:t>that they were provided with the use of a non-commercial motor vehicle by a person in which they have no legal i</w:t>
      </w:r>
      <w:r w:rsidR="006C5162">
        <w:rPr>
          <w:rFonts w:asciiTheme="majorHAnsi" w:hAnsiTheme="majorHAnsi"/>
        </w:rPr>
        <w:t>nterest and incurred fuel costs.</w:t>
      </w:r>
    </w:p>
    <w:p w:rsidR="00CA2737" w:rsidRPr="009D0076" w:rsidRDefault="00CA2737" w:rsidP="006C5162">
      <w:pPr>
        <w:spacing w:after="120"/>
        <w:contextualSpacing/>
        <w:rPr>
          <w:rFonts w:asciiTheme="majorHAnsi" w:hAnsiTheme="majorHAnsi"/>
        </w:rPr>
      </w:pPr>
      <w:r w:rsidRPr="009D0076">
        <w:rPr>
          <w:rFonts w:asciiTheme="majorHAnsi" w:hAnsiTheme="majorHAnsi"/>
        </w:rPr>
        <w:t xml:space="preserve">The certification will be developed by the Parliamentary Service in accordance with this Determination. </w:t>
      </w:r>
    </w:p>
    <w:p w:rsidR="00CA2737" w:rsidRPr="009D0076" w:rsidRDefault="00CA2737" w:rsidP="006C5162">
      <w:pPr>
        <w:spacing w:after="120"/>
        <w:contextualSpacing/>
        <w:rPr>
          <w:rFonts w:asciiTheme="majorHAnsi" w:hAnsiTheme="majorHAnsi"/>
        </w:rPr>
      </w:pPr>
    </w:p>
    <w:p w:rsidR="00CA2737" w:rsidRPr="009D0076" w:rsidRDefault="00CA2737" w:rsidP="006C5162">
      <w:pPr>
        <w:spacing w:after="120"/>
        <w:contextualSpacing/>
        <w:rPr>
          <w:rFonts w:asciiTheme="majorHAnsi" w:hAnsiTheme="majorHAnsi"/>
        </w:rPr>
      </w:pPr>
      <w:r w:rsidRPr="009D0076">
        <w:rPr>
          <w:rFonts w:asciiTheme="majorHAnsi" w:hAnsiTheme="majorHAnsi"/>
        </w:rPr>
        <w:t xml:space="preserve">Any claim for fuel reimbursement will be capped at $150. </w:t>
      </w:r>
    </w:p>
    <w:p w:rsidR="00C42288" w:rsidRDefault="00C42288" w:rsidP="00C42288">
      <w:pPr>
        <w:pStyle w:val="Heading2"/>
        <w:keepNext w:val="0"/>
        <w:spacing w:before="0" w:after="120"/>
        <w:contextualSpacing/>
      </w:pPr>
    </w:p>
    <w:p w:rsidR="00E2676D" w:rsidRPr="009D0076" w:rsidRDefault="00265722" w:rsidP="00C42288">
      <w:pPr>
        <w:pStyle w:val="Heading2"/>
        <w:keepNext w:val="0"/>
        <w:spacing w:before="0" w:after="120"/>
        <w:contextualSpacing/>
      </w:pPr>
      <w:r w:rsidRPr="009D0076">
        <w:t>Adjustment to the Electorate and Communication Allowance</w:t>
      </w:r>
    </w:p>
    <w:p w:rsidR="00CA2737" w:rsidRPr="009D0076" w:rsidRDefault="00CA2737" w:rsidP="00C42288">
      <w:pPr>
        <w:keepLines/>
        <w:spacing w:after="120"/>
        <w:rPr>
          <w:rFonts w:asciiTheme="majorHAnsi" w:hAnsiTheme="majorHAnsi"/>
          <w:b/>
        </w:rPr>
      </w:pPr>
      <w:r w:rsidRPr="009D0076">
        <w:rPr>
          <w:rFonts w:asciiTheme="majorHAnsi" w:hAnsiTheme="majorHAnsi"/>
          <w:b/>
        </w:rPr>
        <w:t>Background</w:t>
      </w:r>
    </w:p>
    <w:p w:rsidR="00E2676D" w:rsidRDefault="00CA2737" w:rsidP="00C42288">
      <w:pPr>
        <w:keepLines/>
        <w:spacing w:after="120"/>
        <w:contextualSpacing/>
        <w:rPr>
          <w:rFonts w:asciiTheme="majorHAnsi" w:hAnsiTheme="majorHAnsi"/>
        </w:rPr>
      </w:pPr>
      <w:r w:rsidRPr="009D0076">
        <w:rPr>
          <w:rFonts w:asciiTheme="majorHAnsi" w:hAnsiTheme="majorHAnsi"/>
        </w:rPr>
        <w:t xml:space="preserve">The </w:t>
      </w:r>
      <w:r w:rsidRPr="009D0076">
        <w:rPr>
          <w:rFonts w:asciiTheme="majorHAnsi" w:hAnsiTheme="majorHAnsi"/>
          <w:i/>
        </w:rPr>
        <w:t>Remuneration Handbook</w:t>
      </w:r>
      <w:r w:rsidRPr="009D0076">
        <w:rPr>
          <w:rFonts w:asciiTheme="majorHAnsi" w:hAnsiTheme="majorHAnsi"/>
        </w:rPr>
        <w:t xml:space="preserve"> (Handbook) currently provides for a budget allocation of </w:t>
      </w:r>
      <w:r w:rsidR="004950E5">
        <w:rPr>
          <w:rFonts w:asciiTheme="majorHAnsi" w:hAnsiTheme="majorHAnsi"/>
        </w:rPr>
        <w:t xml:space="preserve">$1,500 for Electorate Office cleaning. The purpose of the allocation is to keep the office interior clean and free from pests in accordance with electorate office lease agreements. </w:t>
      </w:r>
    </w:p>
    <w:p w:rsidR="004950E5" w:rsidRDefault="004950E5" w:rsidP="00C42288">
      <w:pPr>
        <w:keepLines/>
        <w:spacing w:after="120"/>
        <w:contextualSpacing/>
        <w:rPr>
          <w:rFonts w:asciiTheme="majorHAnsi" w:hAnsiTheme="majorHAnsi"/>
        </w:rPr>
      </w:pPr>
    </w:p>
    <w:p w:rsidR="004950E5" w:rsidRDefault="004950E5" w:rsidP="00C42288">
      <w:pPr>
        <w:keepLines/>
        <w:spacing w:after="120"/>
        <w:contextualSpacing/>
        <w:rPr>
          <w:rFonts w:asciiTheme="majorHAnsi" w:hAnsiTheme="majorHAnsi"/>
        </w:rPr>
      </w:pPr>
      <w:r>
        <w:rPr>
          <w:rFonts w:asciiTheme="majorHAnsi" w:hAnsiTheme="majorHAnsi"/>
        </w:rPr>
        <w:t>Additionally the Handbook provides for an Electorate Office Equipm</w:t>
      </w:r>
      <w:r w:rsidR="00DA1FA5">
        <w:rPr>
          <w:rFonts w:asciiTheme="majorHAnsi" w:hAnsiTheme="majorHAnsi"/>
        </w:rPr>
        <w:t>ent Consumables al</w:t>
      </w:r>
      <w:r>
        <w:rPr>
          <w:rFonts w:asciiTheme="majorHAnsi" w:hAnsiTheme="majorHAnsi"/>
        </w:rPr>
        <w:t>location. This allocation provides for consumables associated with the operation of certain electorate office equipment including a suite of printing/copying equipment and may be used to meet some of the costs of those consumables including:</w:t>
      </w:r>
    </w:p>
    <w:p w:rsidR="004950E5" w:rsidRDefault="004950E5" w:rsidP="004950E5">
      <w:pPr>
        <w:pStyle w:val="ListParagraph"/>
        <w:keepNext/>
        <w:keepLines/>
        <w:numPr>
          <w:ilvl w:val="0"/>
          <w:numId w:val="15"/>
        </w:numPr>
        <w:spacing w:after="120"/>
        <w:rPr>
          <w:rFonts w:asciiTheme="majorHAnsi" w:hAnsiTheme="majorHAnsi"/>
        </w:rPr>
      </w:pPr>
      <w:r>
        <w:rPr>
          <w:rFonts w:asciiTheme="majorHAnsi" w:hAnsiTheme="majorHAnsi"/>
        </w:rPr>
        <w:lastRenderedPageBreak/>
        <w:t>plain paper</w:t>
      </w:r>
    </w:p>
    <w:p w:rsidR="004950E5" w:rsidRDefault="004950E5" w:rsidP="004950E5">
      <w:pPr>
        <w:pStyle w:val="ListParagraph"/>
        <w:keepNext/>
        <w:keepLines/>
        <w:numPr>
          <w:ilvl w:val="0"/>
          <w:numId w:val="15"/>
        </w:numPr>
        <w:spacing w:after="120"/>
        <w:rPr>
          <w:rFonts w:asciiTheme="majorHAnsi" w:hAnsiTheme="majorHAnsi"/>
        </w:rPr>
      </w:pPr>
      <w:r>
        <w:rPr>
          <w:rFonts w:asciiTheme="majorHAnsi" w:hAnsiTheme="majorHAnsi"/>
        </w:rPr>
        <w:t>Parliamentary crested letterhead paper</w:t>
      </w:r>
    </w:p>
    <w:p w:rsidR="004950E5" w:rsidRDefault="004950E5" w:rsidP="004950E5">
      <w:pPr>
        <w:pStyle w:val="ListParagraph"/>
        <w:keepNext/>
        <w:keepLines/>
        <w:numPr>
          <w:ilvl w:val="0"/>
          <w:numId w:val="15"/>
        </w:numPr>
        <w:spacing w:after="120"/>
        <w:rPr>
          <w:rFonts w:asciiTheme="majorHAnsi" w:hAnsiTheme="majorHAnsi"/>
        </w:rPr>
      </w:pPr>
      <w:r>
        <w:rPr>
          <w:rFonts w:asciiTheme="majorHAnsi" w:hAnsiTheme="majorHAnsi"/>
        </w:rPr>
        <w:t>Envelopes</w:t>
      </w:r>
    </w:p>
    <w:p w:rsidR="004950E5" w:rsidRDefault="004950E5" w:rsidP="004950E5">
      <w:pPr>
        <w:pStyle w:val="ListParagraph"/>
        <w:keepNext/>
        <w:keepLines/>
        <w:numPr>
          <w:ilvl w:val="0"/>
          <w:numId w:val="15"/>
        </w:numPr>
        <w:spacing w:after="120"/>
        <w:rPr>
          <w:rFonts w:asciiTheme="majorHAnsi" w:hAnsiTheme="majorHAnsi"/>
        </w:rPr>
      </w:pPr>
      <w:r>
        <w:rPr>
          <w:rFonts w:asciiTheme="majorHAnsi" w:hAnsiTheme="majorHAnsi"/>
        </w:rPr>
        <w:t>HP printer cartridges</w:t>
      </w:r>
    </w:p>
    <w:p w:rsidR="004950E5" w:rsidRDefault="004950E5" w:rsidP="004950E5">
      <w:pPr>
        <w:pStyle w:val="ListParagraph"/>
        <w:keepNext/>
        <w:keepLines/>
        <w:numPr>
          <w:ilvl w:val="0"/>
          <w:numId w:val="15"/>
        </w:numPr>
        <w:spacing w:after="120"/>
        <w:rPr>
          <w:rFonts w:asciiTheme="majorHAnsi" w:hAnsiTheme="majorHAnsi"/>
        </w:rPr>
      </w:pPr>
      <w:r>
        <w:rPr>
          <w:rFonts w:asciiTheme="majorHAnsi" w:hAnsiTheme="majorHAnsi"/>
        </w:rPr>
        <w:t>Ricoh Fax toners</w:t>
      </w:r>
    </w:p>
    <w:p w:rsidR="004950E5" w:rsidRPr="004950E5" w:rsidRDefault="004950E5" w:rsidP="004950E5">
      <w:pPr>
        <w:pStyle w:val="ListParagraph"/>
        <w:keepNext/>
        <w:keepLines/>
        <w:numPr>
          <w:ilvl w:val="0"/>
          <w:numId w:val="15"/>
        </w:numPr>
        <w:spacing w:after="120"/>
        <w:rPr>
          <w:rFonts w:asciiTheme="majorHAnsi" w:hAnsiTheme="majorHAnsi"/>
        </w:rPr>
      </w:pPr>
      <w:r>
        <w:rPr>
          <w:rFonts w:asciiTheme="majorHAnsi" w:hAnsiTheme="majorHAnsi"/>
        </w:rPr>
        <w:t xml:space="preserve">Ricoh Multifunction Device colour copy charges. </w:t>
      </w:r>
    </w:p>
    <w:p w:rsidR="00E33AE5" w:rsidRDefault="00A577DB" w:rsidP="006C5162">
      <w:pPr>
        <w:spacing w:after="120"/>
        <w:contextualSpacing/>
        <w:rPr>
          <w:rFonts w:asciiTheme="majorHAnsi" w:hAnsiTheme="majorHAnsi"/>
        </w:rPr>
      </w:pPr>
      <w:r w:rsidRPr="009D0076">
        <w:rPr>
          <w:rFonts w:asciiTheme="majorHAnsi" w:hAnsiTheme="majorHAnsi"/>
        </w:rPr>
        <w:t>The CLA recently endorsed the amou</w:t>
      </w:r>
      <w:r w:rsidR="00DA1FA5">
        <w:rPr>
          <w:rFonts w:asciiTheme="majorHAnsi" w:hAnsiTheme="majorHAnsi"/>
        </w:rPr>
        <w:t>nts of these budget allocations.</w:t>
      </w:r>
    </w:p>
    <w:p w:rsidR="00DA1FA5" w:rsidRPr="009D0076" w:rsidRDefault="00DA1FA5" w:rsidP="006C5162">
      <w:pPr>
        <w:spacing w:after="120"/>
        <w:rPr>
          <w:rFonts w:asciiTheme="majorHAnsi" w:hAnsiTheme="majorHAnsi"/>
        </w:rPr>
      </w:pPr>
    </w:p>
    <w:p w:rsidR="00F72918" w:rsidRPr="009D0076" w:rsidRDefault="00F72918" w:rsidP="006C5162">
      <w:pPr>
        <w:spacing w:after="120"/>
        <w:rPr>
          <w:rFonts w:asciiTheme="majorHAnsi" w:hAnsiTheme="majorHAnsi"/>
          <w:b/>
        </w:rPr>
      </w:pPr>
      <w:r w:rsidRPr="009D0076">
        <w:rPr>
          <w:rFonts w:asciiTheme="majorHAnsi" w:hAnsiTheme="majorHAnsi"/>
          <w:b/>
        </w:rPr>
        <w:t>Analysis</w:t>
      </w:r>
    </w:p>
    <w:p w:rsidR="00E33AE5" w:rsidRPr="009D0076" w:rsidRDefault="00F72918" w:rsidP="006C5162">
      <w:pPr>
        <w:spacing w:after="120"/>
        <w:contextualSpacing/>
        <w:rPr>
          <w:rFonts w:asciiTheme="majorHAnsi" w:hAnsiTheme="majorHAnsi"/>
        </w:rPr>
      </w:pPr>
      <w:r w:rsidRPr="009D0076">
        <w:rPr>
          <w:rFonts w:asciiTheme="majorHAnsi" w:hAnsiTheme="majorHAnsi"/>
        </w:rPr>
        <w:t xml:space="preserve">The Tribunal has met with the Speaker and the Clerk of the Parliament and they are of the view that the </w:t>
      </w:r>
      <w:r w:rsidR="00DA1FA5">
        <w:rPr>
          <w:rFonts w:asciiTheme="majorHAnsi" w:hAnsiTheme="majorHAnsi"/>
        </w:rPr>
        <w:t xml:space="preserve">Electorate Office Cleaning allocation and Electorate Office Equipment Consumables allocation </w:t>
      </w:r>
      <w:r w:rsidRPr="009D0076">
        <w:rPr>
          <w:rFonts w:asciiTheme="majorHAnsi" w:hAnsiTheme="majorHAnsi"/>
        </w:rPr>
        <w:t>increase the complexity of the allowances system and the administrative burden on the Parliamentary Service for regulating the two allocations.</w:t>
      </w:r>
    </w:p>
    <w:p w:rsidR="00E33AE5" w:rsidRPr="009D0076" w:rsidRDefault="00E33AE5" w:rsidP="006C5162">
      <w:pPr>
        <w:spacing w:after="120"/>
        <w:contextualSpacing/>
        <w:rPr>
          <w:rFonts w:asciiTheme="majorHAnsi" w:hAnsiTheme="majorHAnsi"/>
        </w:rPr>
      </w:pPr>
    </w:p>
    <w:p w:rsidR="00F72918" w:rsidRPr="009D0076" w:rsidRDefault="00E33AE5" w:rsidP="006C5162">
      <w:pPr>
        <w:spacing w:after="120"/>
        <w:contextualSpacing/>
        <w:rPr>
          <w:rFonts w:asciiTheme="majorHAnsi" w:hAnsiTheme="majorHAnsi"/>
        </w:rPr>
      </w:pPr>
      <w:r w:rsidRPr="009D0076">
        <w:rPr>
          <w:rFonts w:asciiTheme="majorHAnsi" w:hAnsiTheme="majorHAnsi"/>
        </w:rPr>
        <w:t xml:space="preserve">The </w:t>
      </w:r>
      <w:r w:rsidR="00F72918" w:rsidRPr="009D0076">
        <w:rPr>
          <w:rFonts w:asciiTheme="majorHAnsi" w:hAnsiTheme="majorHAnsi"/>
        </w:rPr>
        <w:t>Speaker has</w:t>
      </w:r>
      <w:r w:rsidRPr="009D0076">
        <w:rPr>
          <w:rFonts w:asciiTheme="majorHAnsi" w:hAnsiTheme="majorHAnsi"/>
        </w:rPr>
        <w:t xml:space="preserve"> </w:t>
      </w:r>
      <w:r w:rsidR="00F72918" w:rsidRPr="009D0076">
        <w:rPr>
          <w:rFonts w:asciiTheme="majorHAnsi" w:hAnsiTheme="majorHAnsi"/>
        </w:rPr>
        <w:t xml:space="preserve">consulted with the </w:t>
      </w:r>
      <w:r w:rsidR="00C839DB">
        <w:rPr>
          <w:rFonts w:asciiTheme="majorHAnsi" w:hAnsiTheme="majorHAnsi"/>
        </w:rPr>
        <w:t>Committee of the Legislative Assembly</w:t>
      </w:r>
      <w:r w:rsidR="00F72918" w:rsidRPr="009D0076">
        <w:rPr>
          <w:rFonts w:asciiTheme="majorHAnsi" w:hAnsiTheme="majorHAnsi"/>
        </w:rPr>
        <w:t xml:space="preserve"> and </w:t>
      </w:r>
      <w:r w:rsidRPr="009D0076">
        <w:rPr>
          <w:rFonts w:asciiTheme="majorHAnsi" w:hAnsiTheme="majorHAnsi"/>
        </w:rPr>
        <w:t xml:space="preserve">agreed to remove these budget allocations from the Handbook </w:t>
      </w:r>
      <w:r w:rsidR="00F72918" w:rsidRPr="009D0076">
        <w:rPr>
          <w:rFonts w:asciiTheme="majorHAnsi" w:hAnsiTheme="majorHAnsi"/>
        </w:rPr>
        <w:t xml:space="preserve">on the basis that these allocations be transferred into the Electorate and Communication Allowance. </w:t>
      </w:r>
    </w:p>
    <w:p w:rsidR="00F72918" w:rsidRPr="009D0076" w:rsidRDefault="00F72918" w:rsidP="006C5162">
      <w:pPr>
        <w:spacing w:after="120"/>
        <w:contextualSpacing/>
        <w:rPr>
          <w:rFonts w:asciiTheme="majorHAnsi" w:hAnsiTheme="majorHAnsi"/>
        </w:rPr>
      </w:pPr>
    </w:p>
    <w:p w:rsidR="00C42288" w:rsidRDefault="00A577DB" w:rsidP="006C5162">
      <w:pPr>
        <w:spacing w:after="120"/>
        <w:contextualSpacing/>
        <w:rPr>
          <w:rFonts w:asciiTheme="majorHAnsi" w:hAnsiTheme="majorHAnsi"/>
        </w:rPr>
      </w:pPr>
      <w:r w:rsidRPr="009D0076">
        <w:rPr>
          <w:rFonts w:asciiTheme="majorHAnsi" w:hAnsiTheme="majorHAnsi"/>
        </w:rPr>
        <w:t>While each band of the Electorate and Communication Allowance will increase by $4,800, t</w:t>
      </w:r>
      <w:r w:rsidR="00F72918" w:rsidRPr="009D0076">
        <w:rPr>
          <w:rFonts w:asciiTheme="majorHAnsi" w:hAnsiTheme="majorHAnsi"/>
        </w:rPr>
        <w:t xml:space="preserve">here will be no net increase in the amount </w:t>
      </w:r>
      <w:r w:rsidRPr="009D0076">
        <w:rPr>
          <w:rFonts w:asciiTheme="majorHAnsi" w:hAnsiTheme="majorHAnsi"/>
        </w:rPr>
        <w:t xml:space="preserve">available for Members </w:t>
      </w:r>
      <w:r w:rsidR="009D0076">
        <w:rPr>
          <w:rFonts w:asciiTheme="majorHAnsi" w:hAnsiTheme="majorHAnsi"/>
        </w:rPr>
        <w:t>to expend</w:t>
      </w:r>
      <w:r w:rsidR="00DA1FA5">
        <w:rPr>
          <w:rFonts w:asciiTheme="majorHAnsi" w:hAnsiTheme="majorHAnsi"/>
        </w:rPr>
        <w:t xml:space="preserve">. </w:t>
      </w:r>
    </w:p>
    <w:p w:rsidR="00C42288" w:rsidRDefault="00C42288" w:rsidP="006C5162">
      <w:pPr>
        <w:spacing w:after="120"/>
        <w:contextualSpacing/>
        <w:rPr>
          <w:rFonts w:asciiTheme="majorHAnsi" w:hAnsiTheme="majorHAnsi"/>
        </w:rPr>
      </w:pPr>
    </w:p>
    <w:p w:rsidR="00E2676D" w:rsidRPr="009D0076" w:rsidRDefault="00DA1FA5" w:rsidP="006C5162">
      <w:pPr>
        <w:spacing w:after="120"/>
        <w:contextualSpacing/>
        <w:rPr>
          <w:rFonts w:asciiTheme="majorHAnsi" w:hAnsiTheme="majorHAnsi"/>
        </w:rPr>
      </w:pPr>
      <w:r>
        <w:rPr>
          <w:rFonts w:asciiTheme="majorHAnsi" w:hAnsiTheme="majorHAnsi"/>
        </w:rPr>
        <w:t xml:space="preserve">The Electorate Office Cleaning and Electorate Office Equipment Consumables allocations will be acquitted against </w:t>
      </w:r>
      <w:r w:rsidR="00A577DB" w:rsidRPr="009D0076">
        <w:rPr>
          <w:rFonts w:asciiTheme="majorHAnsi" w:hAnsiTheme="majorHAnsi"/>
        </w:rPr>
        <w:t xml:space="preserve">the ‘office expenses’ category in the acquittal system for the Electorate and Communication Allowance. </w:t>
      </w:r>
      <w:r w:rsidR="00E2676D" w:rsidRPr="009D0076">
        <w:rPr>
          <w:rFonts w:asciiTheme="majorHAnsi" w:hAnsiTheme="majorHAnsi"/>
        </w:rPr>
        <w:t xml:space="preserve"> </w:t>
      </w:r>
    </w:p>
    <w:p w:rsidR="00E2676D" w:rsidRPr="009D0076" w:rsidRDefault="00E2676D" w:rsidP="006C5162">
      <w:pPr>
        <w:spacing w:after="120"/>
        <w:contextualSpacing/>
        <w:rPr>
          <w:rFonts w:asciiTheme="majorHAnsi" w:hAnsiTheme="majorHAnsi"/>
        </w:rPr>
      </w:pPr>
      <w:r w:rsidRPr="009D0076">
        <w:rPr>
          <w:rFonts w:asciiTheme="majorHAnsi" w:hAnsiTheme="majorHAnsi"/>
        </w:rPr>
        <w:br w:type="page"/>
      </w:r>
    </w:p>
    <w:p w:rsidR="007316BA" w:rsidRPr="00E2676D" w:rsidRDefault="007316BA" w:rsidP="00E2676D">
      <w:pPr>
        <w:pStyle w:val="Title"/>
        <w:pBdr>
          <w:bottom w:val="single" w:sz="8" w:space="7" w:color="4F81BD"/>
        </w:pBdr>
        <w:rPr>
          <w:rFonts w:ascii="Arial" w:hAnsi="Arial" w:cs="Arial"/>
          <w:lang w:val="en-US"/>
        </w:rPr>
      </w:pPr>
      <w:r w:rsidRPr="00E2676D">
        <w:rPr>
          <w:rFonts w:ascii="Arial" w:hAnsi="Arial" w:cs="Arial"/>
          <w:lang w:val="en-US"/>
        </w:rPr>
        <w:lastRenderedPageBreak/>
        <w:t>Determination</w:t>
      </w:r>
    </w:p>
    <w:p w:rsidR="00C00E1D" w:rsidRDefault="00C00E1D" w:rsidP="00DC0159">
      <w:pPr>
        <w:spacing w:line="276" w:lineRule="auto"/>
        <w:rPr>
          <w:rFonts w:asciiTheme="majorHAnsi" w:hAnsiTheme="majorHAnsi" w:cs="Arial"/>
          <w:bCs/>
        </w:rPr>
      </w:pPr>
    </w:p>
    <w:p w:rsidR="00FD0616" w:rsidRPr="009D0076" w:rsidRDefault="00FD0616" w:rsidP="009D0076">
      <w:pPr>
        <w:spacing w:after="120"/>
        <w:rPr>
          <w:rFonts w:asciiTheme="majorHAnsi" w:hAnsiTheme="majorHAnsi" w:cs="Arial"/>
          <w:bCs/>
        </w:rPr>
      </w:pPr>
      <w:r w:rsidRPr="009D0076">
        <w:rPr>
          <w:rFonts w:asciiTheme="majorHAnsi" w:hAnsiTheme="majorHAnsi" w:cs="Arial"/>
          <w:bCs/>
        </w:rPr>
        <w:t>Any inconsistencies between earlier Tribunal Det</w:t>
      </w:r>
      <w:r w:rsidR="00B54786" w:rsidRPr="009D0076">
        <w:rPr>
          <w:rFonts w:asciiTheme="majorHAnsi" w:hAnsiTheme="majorHAnsi" w:cs="Arial"/>
          <w:bCs/>
        </w:rPr>
        <w:t>erminations and Determination 13</w:t>
      </w:r>
      <w:r w:rsidRPr="009D0076">
        <w:rPr>
          <w:rFonts w:asciiTheme="majorHAnsi" w:hAnsiTheme="majorHAnsi" w:cs="Arial"/>
          <w:bCs/>
        </w:rPr>
        <w:t>/2016 are resolv</w:t>
      </w:r>
      <w:r w:rsidR="006D71D0" w:rsidRPr="009D0076">
        <w:rPr>
          <w:rFonts w:asciiTheme="majorHAnsi" w:hAnsiTheme="majorHAnsi" w:cs="Arial"/>
          <w:bCs/>
        </w:rPr>
        <w:t>ed in favour of Determination 13</w:t>
      </w:r>
      <w:r w:rsidRPr="009D0076">
        <w:rPr>
          <w:rFonts w:asciiTheme="majorHAnsi" w:hAnsiTheme="majorHAnsi" w:cs="Arial"/>
          <w:bCs/>
        </w:rPr>
        <w:t>/2016. Matters in earlier Determinations not addressed in this Determination are confirmed by the Tribunal and not amended.</w:t>
      </w:r>
    </w:p>
    <w:p w:rsidR="004527A2" w:rsidRPr="009D0076" w:rsidRDefault="004527A2" w:rsidP="009D0076">
      <w:pPr>
        <w:spacing w:after="120"/>
        <w:rPr>
          <w:rFonts w:asciiTheme="majorHAnsi" w:hAnsiTheme="majorHAnsi" w:cs="Arial"/>
          <w:bCs/>
        </w:rPr>
      </w:pPr>
    </w:p>
    <w:p w:rsidR="00924387" w:rsidRPr="009D0076" w:rsidRDefault="00924387" w:rsidP="009D0076">
      <w:pPr>
        <w:pStyle w:val="Heading2"/>
        <w:spacing w:before="0" w:after="120"/>
        <w:rPr>
          <w:sz w:val="24"/>
          <w:szCs w:val="24"/>
        </w:rPr>
      </w:pPr>
      <w:r w:rsidRPr="009D0076">
        <w:rPr>
          <w:sz w:val="24"/>
          <w:szCs w:val="24"/>
        </w:rPr>
        <w:t>Bi-annual reporting</w:t>
      </w:r>
    </w:p>
    <w:p w:rsidR="007316BA" w:rsidRDefault="00924387" w:rsidP="009D0076">
      <w:pPr>
        <w:pStyle w:val="ListParagraph"/>
        <w:numPr>
          <w:ilvl w:val="0"/>
          <w:numId w:val="12"/>
        </w:numPr>
        <w:spacing w:after="120"/>
        <w:rPr>
          <w:rFonts w:asciiTheme="majorHAnsi" w:hAnsiTheme="majorHAnsi"/>
        </w:rPr>
      </w:pPr>
      <w:r w:rsidRPr="009D0076">
        <w:rPr>
          <w:rFonts w:asciiTheme="majorHAnsi" w:hAnsiTheme="majorHAnsi" w:cs="Arial"/>
          <w:bCs/>
        </w:rPr>
        <w:t xml:space="preserve">The Tribunal determines that </w:t>
      </w:r>
      <w:r w:rsidR="003D4980" w:rsidRPr="009D0076">
        <w:rPr>
          <w:rFonts w:asciiTheme="majorHAnsi" w:hAnsiTheme="majorHAnsi"/>
        </w:rPr>
        <w:t>the</w:t>
      </w:r>
      <w:r w:rsidR="006D71D0" w:rsidRPr="009D0076">
        <w:rPr>
          <w:rFonts w:asciiTheme="majorHAnsi" w:hAnsiTheme="majorHAnsi"/>
        </w:rPr>
        <w:t xml:space="preserve"> </w:t>
      </w:r>
      <w:r w:rsidR="003D4980" w:rsidRPr="009D0076">
        <w:rPr>
          <w:rFonts w:asciiTheme="majorHAnsi" w:hAnsiTheme="majorHAnsi"/>
        </w:rPr>
        <w:t xml:space="preserve">Clerk </w:t>
      </w:r>
      <w:r w:rsidR="00C839DB">
        <w:rPr>
          <w:rFonts w:asciiTheme="majorHAnsi" w:hAnsiTheme="majorHAnsi"/>
        </w:rPr>
        <w:t xml:space="preserve">of the Parliament </w:t>
      </w:r>
      <w:r w:rsidR="006D71D0" w:rsidRPr="009D0076">
        <w:rPr>
          <w:rFonts w:asciiTheme="majorHAnsi" w:hAnsiTheme="majorHAnsi"/>
        </w:rPr>
        <w:t xml:space="preserve">will not be required to </w:t>
      </w:r>
      <w:r w:rsidR="003D4980" w:rsidRPr="009D0076">
        <w:rPr>
          <w:rFonts w:asciiTheme="majorHAnsi" w:hAnsiTheme="majorHAnsi"/>
        </w:rPr>
        <w:t>produce a bi</w:t>
      </w:r>
      <w:r w:rsidR="00097345" w:rsidRPr="009D0076">
        <w:rPr>
          <w:rFonts w:asciiTheme="majorHAnsi" w:hAnsiTheme="majorHAnsi"/>
        </w:rPr>
        <w:noBreakHyphen/>
      </w:r>
      <w:r w:rsidR="003D4980" w:rsidRPr="009D0076">
        <w:rPr>
          <w:rFonts w:asciiTheme="majorHAnsi" w:hAnsiTheme="majorHAnsi"/>
        </w:rPr>
        <w:t>annual report on expenditure against the Elector</w:t>
      </w:r>
      <w:r w:rsidRPr="009D0076">
        <w:rPr>
          <w:rFonts w:asciiTheme="majorHAnsi" w:hAnsiTheme="majorHAnsi"/>
        </w:rPr>
        <w:t>ate and Communication Allowance.</w:t>
      </w:r>
    </w:p>
    <w:p w:rsidR="009D0076" w:rsidRPr="009D0076" w:rsidRDefault="009D0076" w:rsidP="009D0076">
      <w:pPr>
        <w:pStyle w:val="ListParagraph"/>
        <w:spacing w:after="120"/>
        <w:rPr>
          <w:rFonts w:asciiTheme="majorHAnsi" w:hAnsiTheme="majorHAnsi"/>
        </w:rPr>
      </w:pPr>
    </w:p>
    <w:p w:rsidR="00924387" w:rsidRPr="009D0076" w:rsidRDefault="00924387" w:rsidP="009D0076">
      <w:pPr>
        <w:pStyle w:val="Heading2"/>
        <w:spacing w:before="0" w:after="120"/>
        <w:rPr>
          <w:sz w:val="24"/>
          <w:szCs w:val="24"/>
        </w:rPr>
      </w:pPr>
      <w:r w:rsidRPr="009D0076">
        <w:rPr>
          <w:sz w:val="24"/>
          <w:szCs w:val="24"/>
        </w:rPr>
        <w:t>Fuel reimbursement where there are no taxis or hire cars available</w:t>
      </w:r>
    </w:p>
    <w:p w:rsidR="00924387" w:rsidRPr="009D0076" w:rsidRDefault="00924387" w:rsidP="009D0076">
      <w:pPr>
        <w:pStyle w:val="ListParagraph"/>
        <w:numPr>
          <w:ilvl w:val="0"/>
          <w:numId w:val="12"/>
        </w:numPr>
        <w:spacing w:after="120"/>
        <w:rPr>
          <w:rFonts w:asciiTheme="majorHAnsi" w:hAnsiTheme="majorHAnsi"/>
        </w:rPr>
      </w:pPr>
      <w:r w:rsidRPr="009D0076">
        <w:rPr>
          <w:rFonts w:asciiTheme="majorHAnsi" w:hAnsiTheme="majorHAnsi"/>
        </w:rPr>
        <w:t xml:space="preserve">The Tribunal determines that </w:t>
      </w:r>
      <w:r w:rsidR="0070571C" w:rsidRPr="009D0076">
        <w:rPr>
          <w:rFonts w:asciiTheme="majorHAnsi" w:hAnsiTheme="majorHAnsi"/>
        </w:rPr>
        <w:t>where</w:t>
      </w:r>
      <w:r w:rsidRPr="009D0076">
        <w:rPr>
          <w:rFonts w:asciiTheme="majorHAnsi" w:hAnsiTheme="majorHAnsi"/>
        </w:rPr>
        <w:t xml:space="preserve"> a Member</w:t>
      </w:r>
      <w:r w:rsidR="00C42288">
        <w:rPr>
          <w:rFonts w:asciiTheme="majorHAnsi" w:hAnsiTheme="majorHAnsi"/>
        </w:rPr>
        <w:t xml:space="preserve"> provides written certification that they were </w:t>
      </w:r>
    </w:p>
    <w:p w:rsidR="0070571C" w:rsidRPr="009D0076" w:rsidRDefault="00924387" w:rsidP="009D0076">
      <w:pPr>
        <w:pStyle w:val="ListParagraph"/>
        <w:numPr>
          <w:ilvl w:val="0"/>
          <w:numId w:val="13"/>
        </w:numPr>
        <w:spacing w:after="120"/>
        <w:rPr>
          <w:rFonts w:asciiTheme="majorHAnsi" w:hAnsiTheme="majorHAnsi"/>
        </w:rPr>
      </w:pPr>
      <w:r w:rsidRPr="009D0076">
        <w:rPr>
          <w:rFonts w:asciiTheme="majorHAnsi" w:hAnsiTheme="majorHAnsi"/>
        </w:rPr>
        <w:t xml:space="preserve">conducting Parliamentary Business, </w:t>
      </w:r>
    </w:p>
    <w:p w:rsidR="00924387" w:rsidRPr="009D0076" w:rsidRDefault="00924387" w:rsidP="009D0076">
      <w:pPr>
        <w:pStyle w:val="ListParagraph"/>
        <w:numPr>
          <w:ilvl w:val="0"/>
          <w:numId w:val="13"/>
        </w:numPr>
        <w:spacing w:after="120"/>
        <w:rPr>
          <w:rFonts w:asciiTheme="majorHAnsi" w:hAnsiTheme="majorHAnsi"/>
        </w:rPr>
      </w:pPr>
      <w:r w:rsidRPr="009D0076">
        <w:rPr>
          <w:rFonts w:asciiTheme="majorHAnsi" w:hAnsiTheme="majorHAnsi"/>
        </w:rPr>
        <w:t xml:space="preserve">unable to secure taxi or hire car services in a particular location, </w:t>
      </w:r>
      <w:r w:rsidR="00265722" w:rsidRPr="009D0076">
        <w:rPr>
          <w:rFonts w:asciiTheme="majorHAnsi" w:hAnsiTheme="majorHAnsi"/>
        </w:rPr>
        <w:t xml:space="preserve">and </w:t>
      </w:r>
    </w:p>
    <w:p w:rsidR="00265722" w:rsidRPr="009D0076" w:rsidRDefault="00924387" w:rsidP="009D0076">
      <w:pPr>
        <w:pStyle w:val="ListParagraph"/>
        <w:numPr>
          <w:ilvl w:val="0"/>
          <w:numId w:val="13"/>
        </w:numPr>
        <w:spacing w:after="120"/>
        <w:rPr>
          <w:rFonts w:asciiTheme="majorHAnsi" w:hAnsiTheme="majorHAnsi"/>
        </w:rPr>
      </w:pPr>
      <w:r w:rsidRPr="009D0076">
        <w:rPr>
          <w:rFonts w:asciiTheme="majorHAnsi" w:hAnsiTheme="majorHAnsi"/>
        </w:rPr>
        <w:t>provided with the use of a non-commercial motor vehicle by a person in which they have no legal interest and incur fuel costs</w:t>
      </w:r>
    </w:p>
    <w:p w:rsidR="00265722" w:rsidRDefault="00265722" w:rsidP="009D0076">
      <w:pPr>
        <w:spacing w:after="120"/>
        <w:ind w:left="720"/>
        <w:rPr>
          <w:rFonts w:asciiTheme="majorHAnsi" w:hAnsiTheme="majorHAnsi"/>
        </w:rPr>
      </w:pPr>
      <w:r w:rsidRPr="009D0076">
        <w:rPr>
          <w:rFonts w:asciiTheme="majorHAnsi" w:hAnsiTheme="majorHAnsi"/>
        </w:rPr>
        <w:t>the Member will be entitled to fuel reimbursement of up to $150</w:t>
      </w:r>
      <w:r w:rsidR="006A646A">
        <w:rPr>
          <w:rFonts w:asciiTheme="majorHAnsi" w:hAnsiTheme="majorHAnsi"/>
        </w:rPr>
        <w:t xml:space="preserve"> (as confirmed by a fuel receipt)</w:t>
      </w:r>
      <w:r w:rsidRPr="009D0076">
        <w:rPr>
          <w:rFonts w:asciiTheme="majorHAnsi" w:hAnsiTheme="majorHAnsi"/>
        </w:rPr>
        <w:t xml:space="preserve"> fro</w:t>
      </w:r>
      <w:r w:rsidR="006A646A">
        <w:rPr>
          <w:rFonts w:asciiTheme="majorHAnsi" w:hAnsiTheme="majorHAnsi"/>
        </w:rPr>
        <w:t>m the General Travel Allocation.</w:t>
      </w:r>
    </w:p>
    <w:p w:rsidR="006A646A" w:rsidRPr="009D0076" w:rsidRDefault="006A646A" w:rsidP="009D0076">
      <w:pPr>
        <w:spacing w:after="120"/>
        <w:ind w:left="720"/>
        <w:rPr>
          <w:rFonts w:asciiTheme="majorHAnsi" w:hAnsiTheme="majorHAnsi"/>
        </w:rPr>
      </w:pPr>
    </w:p>
    <w:p w:rsidR="00265722" w:rsidRPr="009D0076" w:rsidRDefault="00265722" w:rsidP="009D0076">
      <w:pPr>
        <w:pStyle w:val="Heading2"/>
        <w:spacing w:before="0" w:after="120"/>
        <w:rPr>
          <w:sz w:val="24"/>
          <w:szCs w:val="24"/>
        </w:rPr>
      </w:pPr>
      <w:r w:rsidRPr="009D0076">
        <w:rPr>
          <w:sz w:val="24"/>
          <w:szCs w:val="24"/>
        </w:rPr>
        <w:t>Adjustment to the Electorate and Communication Allowance</w:t>
      </w:r>
    </w:p>
    <w:p w:rsidR="0070571C" w:rsidRPr="009D0076" w:rsidRDefault="00097345" w:rsidP="009D0076">
      <w:pPr>
        <w:pStyle w:val="ListParagraph"/>
        <w:numPr>
          <w:ilvl w:val="0"/>
          <w:numId w:val="12"/>
        </w:numPr>
        <w:spacing w:after="120"/>
        <w:rPr>
          <w:rFonts w:asciiTheme="majorHAnsi" w:hAnsiTheme="majorHAnsi"/>
        </w:rPr>
      </w:pPr>
      <w:r w:rsidRPr="009D0076">
        <w:rPr>
          <w:rFonts w:asciiTheme="majorHAnsi" w:hAnsiTheme="majorHAnsi"/>
        </w:rPr>
        <w:t xml:space="preserve">To facilitate the transfer of the </w:t>
      </w:r>
      <w:r w:rsidR="001C4384" w:rsidRPr="009D0076">
        <w:rPr>
          <w:rFonts w:asciiTheme="majorHAnsi" w:hAnsiTheme="majorHAnsi"/>
        </w:rPr>
        <w:t>Electorate Office Cleaning</w:t>
      </w:r>
      <w:r w:rsidR="001C4384">
        <w:rPr>
          <w:rFonts w:asciiTheme="majorHAnsi" w:hAnsiTheme="majorHAnsi"/>
        </w:rPr>
        <w:t xml:space="preserve"> allocation of $1,500 and </w:t>
      </w:r>
      <w:r w:rsidR="001C4384" w:rsidRPr="009D0076">
        <w:rPr>
          <w:rFonts w:asciiTheme="majorHAnsi" w:hAnsiTheme="majorHAnsi"/>
        </w:rPr>
        <w:t xml:space="preserve">the </w:t>
      </w:r>
      <w:r w:rsidR="001C4384">
        <w:rPr>
          <w:rFonts w:asciiTheme="majorHAnsi" w:hAnsiTheme="majorHAnsi"/>
        </w:rPr>
        <w:t xml:space="preserve">Electorate Office Equipment Consumables allocation of </w:t>
      </w:r>
      <w:r w:rsidR="00265722" w:rsidRPr="009D0076">
        <w:rPr>
          <w:rFonts w:asciiTheme="majorHAnsi" w:hAnsiTheme="majorHAnsi"/>
        </w:rPr>
        <w:t>$3,300</w:t>
      </w:r>
      <w:r w:rsidR="009766E4">
        <w:rPr>
          <w:rFonts w:asciiTheme="majorHAnsi" w:hAnsiTheme="majorHAnsi"/>
        </w:rPr>
        <w:t xml:space="preserve"> from the other entitlements determined by the Speaker</w:t>
      </w:r>
      <w:r w:rsidR="00265722" w:rsidRPr="009D0076">
        <w:rPr>
          <w:rFonts w:asciiTheme="majorHAnsi" w:hAnsiTheme="majorHAnsi"/>
        </w:rPr>
        <w:t xml:space="preserve"> </w:t>
      </w:r>
      <w:r w:rsidR="001C4384">
        <w:rPr>
          <w:rFonts w:asciiTheme="majorHAnsi" w:hAnsiTheme="majorHAnsi"/>
        </w:rPr>
        <w:t>to the Electorate and Communication Allowance</w:t>
      </w:r>
      <w:r w:rsidR="009766E4">
        <w:rPr>
          <w:rFonts w:asciiTheme="majorHAnsi" w:hAnsiTheme="majorHAnsi"/>
        </w:rPr>
        <w:t xml:space="preserve">, </w:t>
      </w:r>
      <w:r w:rsidR="001C4384">
        <w:rPr>
          <w:rFonts w:asciiTheme="majorHAnsi" w:hAnsiTheme="majorHAnsi"/>
        </w:rPr>
        <w:t>the</w:t>
      </w:r>
      <w:r w:rsidR="006A646A">
        <w:rPr>
          <w:rFonts w:asciiTheme="majorHAnsi" w:hAnsiTheme="majorHAnsi"/>
        </w:rPr>
        <w:t xml:space="preserve"> Tribunal determines that the</w:t>
      </w:r>
      <w:r w:rsidR="001C4384">
        <w:rPr>
          <w:rFonts w:asciiTheme="majorHAnsi" w:hAnsiTheme="majorHAnsi"/>
        </w:rPr>
        <w:t xml:space="preserve"> </w:t>
      </w:r>
      <w:r w:rsidRPr="009D0076">
        <w:rPr>
          <w:rFonts w:asciiTheme="majorHAnsi" w:hAnsiTheme="majorHAnsi"/>
        </w:rPr>
        <w:t xml:space="preserve">Electorate and Communication Allowance will increase by $4,800 to the following annual amounts effective 1 January 2017: </w:t>
      </w:r>
    </w:p>
    <w:p w:rsidR="00097345" w:rsidRPr="009D0076" w:rsidRDefault="00097345" w:rsidP="009D0076">
      <w:pPr>
        <w:pStyle w:val="ListParagraph"/>
        <w:numPr>
          <w:ilvl w:val="0"/>
          <w:numId w:val="14"/>
        </w:numPr>
        <w:spacing w:after="120"/>
        <w:rPr>
          <w:rFonts w:asciiTheme="majorHAnsi" w:hAnsiTheme="majorHAnsi"/>
        </w:rPr>
      </w:pPr>
      <w:r w:rsidRPr="009D0076">
        <w:rPr>
          <w:rFonts w:asciiTheme="majorHAnsi" w:hAnsiTheme="majorHAnsi"/>
        </w:rPr>
        <w:t>Band 1 - $67,800</w:t>
      </w:r>
    </w:p>
    <w:p w:rsidR="00097345" w:rsidRPr="009D0076" w:rsidRDefault="00097345" w:rsidP="009D0076">
      <w:pPr>
        <w:pStyle w:val="ListParagraph"/>
        <w:numPr>
          <w:ilvl w:val="0"/>
          <w:numId w:val="14"/>
        </w:numPr>
        <w:spacing w:after="120"/>
        <w:rPr>
          <w:rFonts w:asciiTheme="majorHAnsi" w:hAnsiTheme="majorHAnsi"/>
        </w:rPr>
      </w:pPr>
      <w:r w:rsidRPr="009D0076">
        <w:rPr>
          <w:rFonts w:asciiTheme="majorHAnsi" w:hAnsiTheme="majorHAnsi"/>
        </w:rPr>
        <w:t>Band 2 - $70,400</w:t>
      </w:r>
    </w:p>
    <w:p w:rsidR="00097345" w:rsidRPr="009D0076" w:rsidRDefault="00097345" w:rsidP="009D0076">
      <w:pPr>
        <w:pStyle w:val="ListParagraph"/>
        <w:numPr>
          <w:ilvl w:val="0"/>
          <w:numId w:val="14"/>
        </w:numPr>
        <w:spacing w:after="120"/>
        <w:rPr>
          <w:rFonts w:asciiTheme="majorHAnsi" w:hAnsiTheme="majorHAnsi"/>
        </w:rPr>
      </w:pPr>
      <w:r w:rsidRPr="009D0076">
        <w:rPr>
          <w:rFonts w:asciiTheme="majorHAnsi" w:hAnsiTheme="majorHAnsi"/>
        </w:rPr>
        <w:t xml:space="preserve">Band 3 - $74,500. </w:t>
      </w:r>
    </w:p>
    <w:p w:rsidR="00A33A90" w:rsidRPr="009D0076" w:rsidRDefault="00A33A90" w:rsidP="009D0076">
      <w:pPr>
        <w:spacing w:after="120"/>
        <w:rPr>
          <w:rFonts w:asciiTheme="majorHAnsi" w:hAnsiTheme="majorHAnsi"/>
        </w:rPr>
      </w:pPr>
    </w:p>
    <w:p w:rsidR="00A33A90" w:rsidRPr="009D0076" w:rsidRDefault="00A33A90" w:rsidP="009D0076">
      <w:pPr>
        <w:spacing w:after="120"/>
        <w:rPr>
          <w:rFonts w:asciiTheme="majorHAnsi" w:hAnsiTheme="majorHAnsi"/>
        </w:rPr>
      </w:pPr>
    </w:p>
    <w:p w:rsidR="00A33A90" w:rsidRPr="009D0076" w:rsidRDefault="00A33A90" w:rsidP="007316BA">
      <w:pPr>
        <w:spacing w:line="276" w:lineRule="auto"/>
        <w:rPr>
          <w:rFonts w:asciiTheme="majorHAnsi" w:hAnsiTheme="majorHAnsi"/>
          <w:highlight w:val="yellow"/>
        </w:rPr>
      </w:pPr>
    </w:p>
    <w:p w:rsidR="00A33A90" w:rsidRPr="009D0076" w:rsidRDefault="00A33A90" w:rsidP="007316BA">
      <w:pPr>
        <w:spacing w:line="276" w:lineRule="auto"/>
        <w:rPr>
          <w:rFonts w:asciiTheme="majorHAnsi" w:hAnsiTheme="majorHAnsi"/>
        </w:rPr>
      </w:pPr>
    </w:p>
    <w:p w:rsidR="00A33A90" w:rsidRPr="009D0076" w:rsidRDefault="009D0076" w:rsidP="007316BA">
      <w:pPr>
        <w:spacing w:line="276" w:lineRule="auto"/>
        <w:rPr>
          <w:rFonts w:asciiTheme="majorHAnsi" w:hAnsiTheme="majorHAnsi"/>
        </w:rPr>
      </w:pPr>
      <w:r w:rsidRPr="009D0076">
        <w:rPr>
          <w:rFonts w:asciiTheme="majorHAnsi" w:hAnsiTheme="majorHAnsi"/>
          <w:noProof/>
          <w:lang w:eastAsia="en-AU"/>
        </w:rPr>
        <mc:AlternateContent>
          <mc:Choice Requires="wpg">
            <w:drawing>
              <wp:anchor distT="0" distB="0" distL="114300" distR="114300" simplePos="0" relativeHeight="251663360" behindDoc="0" locked="0" layoutInCell="1" allowOverlap="1" wp14:anchorId="7198D799" wp14:editId="0F940557">
                <wp:simplePos x="0" y="0"/>
                <wp:positionH relativeFrom="column">
                  <wp:posOffset>-89291</wp:posOffset>
                </wp:positionH>
                <wp:positionV relativeFrom="paragraph">
                  <wp:posOffset>32678</wp:posOffset>
                </wp:positionV>
                <wp:extent cx="5849620" cy="699282"/>
                <wp:effectExtent l="0" t="0" r="0" b="5715"/>
                <wp:wrapSquare wrapText="bothSides"/>
                <wp:docPr id="4" name="Group 4"/>
                <wp:cNvGraphicFramePr/>
                <a:graphic xmlns:a="http://schemas.openxmlformats.org/drawingml/2006/main">
                  <a:graphicData uri="http://schemas.microsoft.com/office/word/2010/wordprocessingGroup">
                    <wpg:wgp>
                      <wpg:cNvGrpSpPr/>
                      <wpg:grpSpPr>
                        <a:xfrm>
                          <a:off x="0" y="0"/>
                          <a:ext cx="5849620" cy="699282"/>
                          <a:chOff x="0" y="-5862"/>
                          <a:chExt cx="5849816" cy="699282"/>
                        </a:xfrm>
                      </wpg:grpSpPr>
                      <wps:wsp>
                        <wps:cNvPr id="217" name="Text Box 2"/>
                        <wps:cNvSpPr txBox="1">
                          <a:spLocks noChangeArrowheads="1"/>
                        </wps:cNvSpPr>
                        <wps:spPr bwMode="auto">
                          <a:xfrm>
                            <a:off x="0" y="0"/>
                            <a:ext cx="1822450" cy="693420"/>
                          </a:xfrm>
                          <a:prstGeom prst="rect">
                            <a:avLst/>
                          </a:prstGeom>
                          <a:solidFill>
                            <a:srgbClr val="FFFFFF"/>
                          </a:solidFill>
                          <a:ln w="9525">
                            <a:noFill/>
                            <a:miter lim="800000"/>
                            <a:headEnd/>
                            <a:tailEnd/>
                          </a:ln>
                        </wps:spPr>
                        <wps:txbx>
                          <w:txbxContent>
                            <w:p w:rsidR="00265722" w:rsidRPr="00AC17F8" w:rsidRDefault="00265722">
                              <w:pPr>
                                <w:rPr>
                                  <w:rFonts w:asciiTheme="majorHAnsi" w:hAnsiTheme="majorHAnsi"/>
                                </w:rPr>
                              </w:pPr>
                              <w:r w:rsidRPr="00AC17F8">
                                <w:rPr>
                                  <w:rFonts w:asciiTheme="majorHAnsi" w:hAnsiTheme="majorHAnsi"/>
                                </w:rPr>
                                <w:t>Professor Anne Tiernan</w:t>
                              </w:r>
                            </w:p>
                            <w:p w:rsidR="00265722" w:rsidRPr="00AC17F8" w:rsidRDefault="00265722">
                              <w:pPr>
                                <w:rPr>
                                  <w:rFonts w:asciiTheme="majorHAnsi" w:hAnsiTheme="majorHAnsi"/>
                                </w:rPr>
                              </w:pPr>
                              <w:r w:rsidRPr="00AC17F8">
                                <w:rPr>
                                  <w:rFonts w:asciiTheme="majorHAnsi" w:hAnsiTheme="majorHAnsi"/>
                                </w:rPr>
                                <w:t>Chairperson</w:t>
                              </w:r>
                            </w:p>
                          </w:txbxContent>
                        </wps:txbx>
                        <wps:bodyPr rot="0" vert="horz" wrap="square" lIns="91440" tIns="45720" rIns="91440" bIns="45720" anchor="t" anchorCtr="0">
                          <a:noAutofit/>
                        </wps:bodyPr>
                      </wps:wsp>
                      <wps:wsp>
                        <wps:cNvPr id="1" name="Text Box 2"/>
                        <wps:cNvSpPr txBox="1">
                          <a:spLocks noChangeArrowheads="1"/>
                        </wps:cNvSpPr>
                        <wps:spPr bwMode="auto">
                          <a:xfrm>
                            <a:off x="2198150" y="-5862"/>
                            <a:ext cx="1711626" cy="693420"/>
                          </a:xfrm>
                          <a:prstGeom prst="rect">
                            <a:avLst/>
                          </a:prstGeom>
                          <a:solidFill>
                            <a:srgbClr val="FFFFFF"/>
                          </a:solidFill>
                          <a:ln w="9525">
                            <a:noFill/>
                            <a:miter lim="800000"/>
                            <a:headEnd/>
                            <a:tailEnd/>
                          </a:ln>
                        </wps:spPr>
                        <wps:txbx>
                          <w:txbxContent>
                            <w:p w:rsidR="00265722" w:rsidRDefault="00265722" w:rsidP="00A33A90">
                              <w:pPr>
                                <w:rPr>
                                  <w:rFonts w:asciiTheme="majorHAnsi" w:hAnsiTheme="majorHAnsi"/>
                                </w:rPr>
                              </w:pPr>
                              <w:r>
                                <w:rPr>
                                  <w:rFonts w:asciiTheme="majorHAnsi" w:hAnsiTheme="majorHAnsi"/>
                                </w:rPr>
                                <w:t>Mr Michael Noud</w:t>
                              </w:r>
                            </w:p>
                            <w:p w:rsidR="00265722" w:rsidRPr="00AC17F8" w:rsidRDefault="00265722" w:rsidP="00A33A90">
                              <w:pPr>
                                <w:rPr>
                                  <w:rFonts w:asciiTheme="majorHAnsi" w:hAnsiTheme="majorHAnsi"/>
                                </w:rPr>
                              </w:pPr>
                              <w:r>
                                <w:rPr>
                                  <w:rFonts w:asciiTheme="majorHAnsi" w:hAnsiTheme="majorHAnsi"/>
                                </w:rPr>
                                <w:t xml:space="preserve">Member </w:t>
                              </w:r>
                            </w:p>
                          </w:txbxContent>
                        </wps:txbx>
                        <wps:bodyPr rot="0" vert="horz" wrap="square" lIns="91440" tIns="45720" rIns="91440" bIns="45720" anchor="t" anchorCtr="0">
                          <a:noAutofit/>
                        </wps:bodyPr>
                      </wps:wsp>
                      <wps:wsp>
                        <wps:cNvPr id="3" name="Text Box 2"/>
                        <wps:cNvSpPr txBox="1">
                          <a:spLocks noChangeArrowheads="1"/>
                        </wps:cNvSpPr>
                        <wps:spPr bwMode="auto">
                          <a:xfrm>
                            <a:off x="4114938" y="0"/>
                            <a:ext cx="1734878" cy="693420"/>
                          </a:xfrm>
                          <a:prstGeom prst="rect">
                            <a:avLst/>
                          </a:prstGeom>
                          <a:solidFill>
                            <a:srgbClr val="FFFFFF"/>
                          </a:solidFill>
                          <a:ln w="9525">
                            <a:noFill/>
                            <a:miter lim="800000"/>
                            <a:headEnd/>
                            <a:tailEnd/>
                          </a:ln>
                        </wps:spPr>
                        <wps:txbx>
                          <w:txbxContent>
                            <w:p w:rsidR="00265722" w:rsidRDefault="00265722" w:rsidP="00A33A90">
                              <w:pPr>
                                <w:rPr>
                                  <w:rFonts w:asciiTheme="majorHAnsi" w:hAnsiTheme="majorHAnsi"/>
                                </w:rPr>
                              </w:pPr>
                              <w:r>
                                <w:rPr>
                                  <w:rFonts w:asciiTheme="majorHAnsi" w:hAnsiTheme="majorHAnsi"/>
                                </w:rPr>
                                <w:t>Ms Karyn Walsh</w:t>
                              </w:r>
                            </w:p>
                            <w:p w:rsidR="00265722" w:rsidRPr="00AC17F8" w:rsidRDefault="00265722" w:rsidP="00A33A90">
                              <w:pPr>
                                <w:rPr>
                                  <w:rFonts w:asciiTheme="majorHAnsi" w:hAnsiTheme="majorHAnsi"/>
                                </w:rPr>
                              </w:pPr>
                              <w:r>
                                <w:rPr>
                                  <w:rFonts w:asciiTheme="majorHAnsi" w:hAnsiTheme="majorHAnsi"/>
                                </w:rPr>
                                <w:t xml:space="preserve">Member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98D799" id="Group 4" o:spid="_x0000_s1026" style="position:absolute;margin-left:-7.05pt;margin-top:2.55pt;width:460.6pt;height:55.05pt;z-index:251663360;mso-width-relative:margin;mso-height-relative:margin" coordorigin=",-58" coordsize="5849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">
                <v:shapetype id="_x0000_t202" coordsize="21600,21600" o:spt="202" path="m,l,21600r21600,l21600,xe">
                  <v:stroke joinstyle="miter"/>
                  <v:path gradientshapeok="t" o:connecttype="rect"/>
                </v:shapetype>
                <v:shape id="Text Box 2" o:spid="_x0000_s1027" type="#_x0000_t202" style="position:absolute;width:18224;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265722" w:rsidRPr="00AC17F8" w:rsidRDefault="00265722">
                        <w:pPr>
                          <w:rPr>
                            <w:rFonts w:asciiTheme="majorHAnsi" w:hAnsiTheme="majorHAnsi"/>
                          </w:rPr>
                        </w:pPr>
                        <w:r w:rsidRPr="00AC17F8">
                          <w:rPr>
                            <w:rFonts w:asciiTheme="majorHAnsi" w:hAnsiTheme="majorHAnsi"/>
                          </w:rPr>
                          <w:t>Professor Anne Tiernan</w:t>
                        </w:r>
                      </w:p>
                      <w:p w:rsidR="00265722" w:rsidRPr="00AC17F8" w:rsidRDefault="00265722">
                        <w:pPr>
                          <w:rPr>
                            <w:rFonts w:asciiTheme="majorHAnsi" w:hAnsiTheme="majorHAnsi"/>
                          </w:rPr>
                        </w:pPr>
                        <w:r w:rsidRPr="00AC17F8">
                          <w:rPr>
                            <w:rFonts w:asciiTheme="majorHAnsi" w:hAnsiTheme="majorHAnsi"/>
                          </w:rPr>
                          <w:t>Chairpers</w:t>
                        </w:r>
                        <w:bookmarkStart w:id="1" w:name="_GoBack"/>
                        <w:bookmarkEnd w:id="1"/>
                        <w:r w:rsidRPr="00AC17F8">
                          <w:rPr>
                            <w:rFonts w:asciiTheme="majorHAnsi" w:hAnsiTheme="majorHAnsi"/>
                          </w:rPr>
                          <w:t>on</w:t>
                        </w:r>
                      </w:p>
                    </w:txbxContent>
                  </v:textbox>
                </v:shape>
                <v:shape id="Text Box 2" o:spid="_x0000_s1028" type="#_x0000_t202" style="position:absolute;left:21981;top:-58;width:17116;height:6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265722" w:rsidRDefault="00265722" w:rsidP="00A33A90">
                        <w:pPr>
                          <w:rPr>
                            <w:rFonts w:asciiTheme="majorHAnsi" w:hAnsiTheme="majorHAnsi"/>
                          </w:rPr>
                        </w:pPr>
                        <w:r>
                          <w:rPr>
                            <w:rFonts w:asciiTheme="majorHAnsi" w:hAnsiTheme="majorHAnsi"/>
                          </w:rPr>
                          <w:t>Mr Michael Noud</w:t>
                        </w:r>
                      </w:p>
                      <w:p w:rsidR="00265722" w:rsidRPr="00AC17F8" w:rsidRDefault="00265722" w:rsidP="00A33A90">
                        <w:pPr>
                          <w:rPr>
                            <w:rFonts w:asciiTheme="majorHAnsi" w:hAnsiTheme="majorHAnsi"/>
                          </w:rPr>
                        </w:pPr>
                        <w:r>
                          <w:rPr>
                            <w:rFonts w:asciiTheme="majorHAnsi" w:hAnsiTheme="majorHAnsi"/>
                          </w:rPr>
                          <w:t xml:space="preserve">Member </w:t>
                        </w:r>
                      </w:p>
                    </w:txbxContent>
                  </v:textbox>
                </v:shape>
                <v:shape id="Text Box 2" o:spid="_x0000_s1029" type="#_x0000_t202" style="position:absolute;left:41149;width:17349;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265722" w:rsidRDefault="00265722" w:rsidP="00A33A90">
                        <w:pPr>
                          <w:rPr>
                            <w:rFonts w:asciiTheme="majorHAnsi" w:hAnsiTheme="majorHAnsi"/>
                          </w:rPr>
                        </w:pPr>
                        <w:r>
                          <w:rPr>
                            <w:rFonts w:asciiTheme="majorHAnsi" w:hAnsiTheme="majorHAnsi"/>
                          </w:rPr>
                          <w:t>Ms Karyn Walsh</w:t>
                        </w:r>
                      </w:p>
                      <w:p w:rsidR="00265722" w:rsidRPr="00AC17F8" w:rsidRDefault="00265722" w:rsidP="00A33A90">
                        <w:pPr>
                          <w:rPr>
                            <w:rFonts w:asciiTheme="majorHAnsi" w:hAnsiTheme="majorHAnsi"/>
                          </w:rPr>
                        </w:pPr>
                        <w:r>
                          <w:rPr>
                            <w:rFonts w:asciiTheme="majorHAnsi" w:hAnsiTheme="majorHAnsi"/>
                          </w:rPr>
                          <w:t xml:space="preserve">Member </w:t>
                        </w:r>
                      </w:p>
                    </w:txbxContent>
                  </v:textbox>
                </v:shape>
                <w10:wrap type="square"/>
              </v:group>
            </w:pict>
          </mc:Fallback>
        </mc:AlternateContent>
      </w:r>
    </w:p>
    <w:p w:rsidR="00A33A90" w:rsidRPr="009D0076" w:rsidRDefault="00A33A90" w:rsidP="00A33A90">
      <w:pPr>
        <w:spacing w:line="276" w:lineRule="auto"/>
        <w:rPr>
          <w:rFonts w:asciiTheme="majorHAnsi" w:eastAsiaTheme="majorEastAsia" w:hAnsiTheme="majorHAnsi" w:cstheme="majorBidi"/>
          <w:bCs/>
        </w:rPr>
      </w:pPr>
    </w:p>
    <w:p w:rsidR="009D0076" w:rsidRPr="009D0076" w:rsidRDefault="009D0076" w:rsidP="007316BA">
      <w:pPr>
        <w:spacing w:line="276" w:lineRule="auto"/>
        <w:rPr>
          <w:rFonts w:asciiTheme="majorHAnsi" w:eastAsiaTheme="majorEastAsia" w:hAnsiTheme="majorHAnsi" w:cstheme="majorBidi"/>
          <w:bCs/>
        </w:rPr>
      </w:pPr>
    </w:p>
    <w:p w:rsidR="009D0076" w:rsidRPr="009D0076" w:rsidRDefault="009D0076" w:rsidP="007316BA">
      <w:pPr>
        <w:spacing w:line="276" w:lineRule="auto"/>
        <w:rPr>
          <w:rFonts w:asciiTheme="majorHAnsi" w:eastAsiaTheme="majorEastAsia" w:hAnsiTheme="majorHAnsi" w:cstheme="majorBidi"/>
          <w:bCs/>
        </w:rPr>
      </w:pPr>
    </w:p>
    <w:p w:rsidR="0085560B" w:rsidRPr="009D0076" w:rsidRDefault="00A33A90" w:rsidP="007316BA">
      <w:pPr>
        <w:spacing w:line="276" w:lineRule="auto"/>
        <w:rPr>
          <w:rFonts w:asciiTheme="majorHAnsi" w:hAnsiTheme="majorHAnsi"/>
        </w:rPr>
      </w:pPr>
      <w:r w:rsidRPr="009D0076">
        <w:rPr>
          <w:rFonts w:asciiTheme="majorHAnsi" w:eastAsiaTheme="majorEastAsia" w:hAnsiTheme="majorHAnsi" w:cstheme="majorBidi"/>
          <w:bCs/>
        </w:rPr>
        <w:t>Date of Determination:</w:t>
      </w:r>
      <w:r w:rsidRPr="009D0076">
        <w:rPr>
          <w:rFonts w:asciiTheme="majorHAnsi" w:hAnsiTheme="majorHAnsi"/>
        </w:rPr>
        <w:t xml:space="preserve"> </w:t>
      </w:r>
      <w:r w:rsidR="00924387" w:rsidRPr="009D0076">
        <w:rPr>
          <w:rFonts w:asciiTheme="majorHAnsi" w:hAnsiTheme="majorHAnsi"/>
        </w:rPr>
        <w:t>16 December 2016</w:t>
      </w:r>
    </w:p>
    <w:sectPr w:rsidR="0085560B" w:rsidRPr="009D0076" w:rsidSect="0077570C">
      <w:headerReference w:type="even" r:id="rId9"/>
      <w:headerReference w:type="default" r:id="rId10"/>
      <w:footerReference w:type="even" r:id="rId11"/>
      <w:footerReference w:type="default" r:id="rId12"/>
      <w:headerReference w:type="first" r:id="rId13"/>
      <w:footerReference w:type="first" r:id="rId14"/>
      <w:pgSz w:w="11900" w:h="16840"/>
      <w:pgMar w:top="1702" w:right="843"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40" w:rsidRDefault="00155D40" w:rsidP="00283E15">
      <w:r>
        <w:separator/>
      </w:r>
    </w:p>
  </w:endnote>
  <w:endnote w:type="continuationSeparator" w:id="0">
    <w:p w:rsidR="00155D40" w:rsidRDefault="00155D40" w:rsidP="0028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6" w:rsidRDefault="00B84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324977"/>
      <w:docPartObj>
        <w:docPartGallery w:val="Page Numbers (Bottom of Page)"/>
        <w:docPartUnique/>
      </w:docPartObj>
    </w:sdtPr>
    <w:sdtEndPr>
      <w:rPr>
        <w:rFonts w:asciiTheme="majorHAnsi" w:hAnsiTheme="majorHAnsi"/>
        <w:color w:val="7F7F7F" w:themeColor="background1" w:themeShade="7F"/>
        <w:spacing w:val="60"/>
      </w:rPr>
    </w:sdtEndPr>
    <w:sdtContent>
      <w:p w:rsidR="00814876" w:rsidRPr="00814876" w:rsidRDefault="00814876">
        <w:pPr>
          <w:pStyle w:val="Footer"/>
          <w:pBdr>
            <w:top w:val="single" w:sz="4" w:space="1" w:color="D9D9D9" w:themeColor="background1" w:themeShade="D9"/>
          </w:pBdr>
          <w:jc w:val="right"/>
          <w:rPr>
            <w:rFonts w:asciiTheme="majorHAnsi" w:hAnsiTheme="majorHAnsi"/>
          </w:rPr>
        </w:pPr>
        <w:r w:rsidRPr="00814876">
          <w:rPr>
            <w:rFonts w:asciiTheme="majorHAnsi" w:hAnsiTheme="majorHAnsi"/>
          </w:rPr>
          <w:fldChar w:fldCharType="begin"/>
        </w:r>
        <w:r w:rsidRPr="00814876">
          <w:rPr>
            <w:rFonts w:asciiTheme="majorHAnsi" w:hAnsiTheme="majorHAnsi"/>
          </w:rPr>
          <w:instrText xml:space="preserve"> PAGE   \* MERGEFORMAT </w:instrText>
        </w:r>
        <w:r w:rsidRPr="00814876">
          <w:rPr>
            <w:rFonts w:asciiTheme="majorHAnsi" w:hAnsiTheme="majorHAnsi"/>
          </w:rPr>
          <w:fldChar w:fldCharType="separate"/>
        </w:r>
        <w:r w:rsidR="00C1402B">
          <w:rPr>
            <w:rFonts w:asciiTheme="majorHAnsi" w:hAnsiTheme="majorHAnsi"/>
            <w:noProof/>
          </w:rPr>
          <w:t>1</w:t>
        </w:r>
        <w:r w:rsidRPr="00814876">
          <w:rPr>
            <w:rFonts w:asciiTheme="majorHAnsi" w:hAnsiTheme="majorHAnsi"/>
            <w:noProof/>
          </w:rPr>
          <w:fldChar w:fldCharType="end"/>
        </w:r>
        <w:r w:rsidRPr="00814876">
          <w:rPr>
            <w:rFonts w:asciiTheme="majorHAnsi" w:hAnsiTheme="majorHAnsi"/>
          </w:rPr>
          <w:t xml:space="preserve"> | </w:t>
        </w:r>
        <w:r w:rsidRPr="00814876">
          <w:rPr>
            <w:rFonts w:asciiTheme="majorHAnsi" w:hAnsiTheme="majorHAnsi"/>
            <w:color w:val="7F7F7F" w:themeColor="background1" w:themeShade="7F"/>
            <w:spacing w:val="60"/>
          </w:rPr>
          <w:t>Page</w:t>
        </w:r>
      </w:p>
    </w:sdtContent>
  </w:sdt>
  <w:p w:rsidR="00265722" w:rsidRDefault="00265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6" w:rsidRDefault="00B84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40" w:rsidRDefault="00155D40" w:rsidP="00283E15">
      <w:r>
        <w:separator/>
      </w:r>
    </w:p>
  </w:footnote>
  <w:footnote w:type="continuationSeparator" w:id="0">
    <w:p w:rsidR="00155D40" w:rsidRDefault="00155D40" w:rsidP="0028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6" w:rsidRDefault="00B8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22" w:rsidRDefault="0077570C" w:rsidP="0077570C">
    <w:pPr>
      <w:pStyle w:val="Header"/>
      <w:ind w:left="-1797" w:firstLine="1797"/>
      <w:jc w:val="right"/>
    </w:pPr>
    <w:r w:rsidRPr="0077570C">
      <w:rPr>
        <w:noProof/>
        <w:lang w:eastAsia="en-AU"/>
      </w:rPr>
      <w:drawing>
        <wp:inline distT="0" distB="0" distL="0" distR="0">
          <wp:extent cx="2877820" cy="720725"/>
          <wp:effectExtent l="0" t="0" r="0" b="0"/>
          <wp:docPr id="2" name="Picture 2" descr="C:\Users\brouwera\AppData\Local\Microsoft\Windows\INetCache\Content.Outlook\C6NOLAKE\DPC5435 QIRT Determination13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uwera\AppData\Local\Microsoft\Windows\INetCache\Content.Outlook\C6NOLAKE\DPC5435 QIRT Determination13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720725"/>
                  </a:xfrm>
                  <a:prstGeom prst="rect">
                    <a:avLst/>
                  </a:prstGeom>
                  <a:noFill/>
                  <a:ln>
                    <a:noFill/>
                  </a:ln>
                </pic:spPr>
              </pic:pic>
            </a:graphicData>
          </a:graphic>
        </wp:inline>
      </w:drawing>
    </w:r>
    <w:r w:rsidR="002F69BE">
      <w:rPr>
        <w:noProof/>
        <w:lang w:eastAsia="en-AU"/>
      </w:rPr>
      <w:drawing>
        <wp:anchor distT="0" distB="0" distL="114300" distR="114300" simplePos="0" relativeHeight="251661824" behindDoc="0" locked="0" layoutInCell="1" allowOverlap="1" wp14:anchorId="5B961D80" wp14:editId="28F6A3EC">
          <wp:simplePos x="0" y="0"/>
          <wp:positionH relativeFrom="page">
            <wp:align>left</wp:align>
          </wp:positionH>
          <wp:positionV relativeFrom="paragraph">
            <wp:posOffset>-440201</wp:posOffset>
          </wp:positionV>
          <wp:extent cx="200025" cy="10829290"/>
          <wp:effectExtent l="0" t="0" r="9525" b="0"/>
          <wp:wrapSquare wrapText="bothSides"/>
          <wp:docPr id="195" name="Picture 195"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pic:spPr>
              </pic:pic>
            </a:graphicData>
          </a:graphic>
          <wp14:sizeRelH relativeFrom="page">
            <wp14:pctWidth>0</wp14:pctWidth>
          </wp14:sizeRelH>
          <wp14:sizeRelV relativeFrom="page">
            <wp14:pctHeight>0</wp14:pctHeight>
          </wp14:sizeRelV>
        </wp:anchor>
      </w:drawing>
    </w:r>
    <w:r w:rsidR="00265722">
      <w:rPr>
        <w:noProof/>
        <w:lang w:eastAsia="en-AU"/>
      </w:rPr>
      <w:drawing>
        <wp:anchor distT="0" distB="0" distL="114300" distR="114300" simplePos="0" relativeHeight="251656704" behindDoc="0" locked="0" layoutInCell="1" allowOverlap="1" wp14:anchorId="18FB6835" wp14:editId="7FD97A10">
          <wp:simplePos x="0" y="0"/>
          <wp:positionH relativeFrom="column">
            <wp:posOffset>-1136650</wp:posOffset>
          </wp:positionH>
          <wp:positionV relativeFrom="paragraph">
            <wp:posOffset>-551815</wp:posOffset>
          </wp:positionV>
          <wp:extent cx="200025" cy="10829290"/>
          <wp:effectExtent l="0" t="0" r="9525" b="0"/>
          <wp:wrapSquare wrapText="bothSides"/>
          <wp:docPr id="192" name="Picture 192"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6" w:rsidRDefault="00B84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36D"/>
    <w:multiLevelType w:val="hybridMultilevel"/>
    <w:tmpl w:val="F8D4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C2425"/>
    <w:multiLevelType w:val="hybridMultilevel"/>
    <w:tmpl w:val="979A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51EE9"/>
    <w:multiLevelType w:val="hybridMultilevel"/>
    <w:tmpl w:val="2794CF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D66B5"/>
    <w:multiLevelType w:val="hybridMultilevel"/>
    <w:tmpl w:val="FA763A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8007BAD"/>
    <w:multiLevelType w:val="hybridMultilevel"/>
    <w:tmpl w:val="048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F53B3"/>
    <w:multiLevelType w:val="hybridMultilevel"/>
    <w:tmpl w:val="661E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291119"/>
    <w:multiLevelType w:val="hybridMultilevel"/>
    <w:tmpl w:val="2F183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233A5E"/>
    <w:multiLevelType w:val="hybridMultilevel"/>
    <w:tmpl w:val="C1A46B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0AD3BB0"/>
    <w:multiLevelType w:val="hybridMultilevel"/>
    <w:tmpl w:val="26D2BA26"/>
    <w:lvl w:ilvl="0" w:tplc="04090001">
      <w:start w:val="1"/>
      <w:numFmt w:val="bullet"/>
      <w:lvlText w:val=""/>
      <w:lvlJc w:val="left"/>
      <w:pPr>
        <w:ind w:left="72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340E73"/>
    <w:multiLevelType w:val="hybridMultilevel"/>
    <w:tmpl w:val="0D5835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451762"/>
    <w:multiLevelType w:val="hybridMultilevel"/>
    <w:tmpl w:val="5A42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3569B"/>
    <w:multiLevelType w:val="hybridMultilevel"/>
    <w:tmpl w:val="8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E0C65"/>
    <w:multiLevelType w:val="hybridMultilevel"/>
    <w:tmpl w:val="5F36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BA0C02"/>
    <w:multiLevelType w:val="hybridMultilevel"/>
    <w:tmpl w:val="93C43E1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4" w15:restartNumberingAfterBreak="0">
    <w:nsid w:val="72CC56F4"/>
    <w:multiLevelType w:val="hybridMultilevel"/>
    <w:tmpl w:val="DE6ECC54"/>
    <w:lvl w:ilvl="0" w:tplc="384AE084">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8"/>
  </w:num>
  <w:num w:numId="4">
    <w:abstractNumId w:val="4"/>
  </w:num>
  <w:num w:numId="5">
    <w:abstractNumId w:val="9"/>
  </w:num>
  <w:num w:numId="6">
    <w:abstractNumId w:val="5"/>
  </w:num>
  <w:num w:numId="7">
    <w:abstractNumId w:val="2"/>
  </w:num>
  <w:num w:numId="8">
    <w:abstractNumId w:val="10"/>
  </w:num>
  <w:num w:numId="9">
    <w:abstractNumId w:val="1"/>
  </w:num>
  <w:num w:numId="10">
    <w:abstractNumId w:val="12"/>
  </w:num>
  <w:num w:numId="11">
    <w:abstractNumId w:val="3"/>
  </w:num>
  <w:num w:numId="12">
    <w:abstractNumId w:val="6"/>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B"/>
    <w:rsid w:val="000060D7"/>
    <w:rsid w:val="0001118D"/>
    <w:rsid w:val="000144EA"/>
    <w:rsid w:val="000332F5"/>
    <w:rsid w:val="000706ED"/>
    <w:rsid w:val="00097345"/>
    <w:rsid w:val="000A2698"/>
    <w:rsid w:val="000C0049"/>
    <w:rsid w:val="000C4818"/>
    <w:rsid w:val="000D64C1"/>
    <w:rsid w:val="000D6A76"/>
    <w:rsid w:val="000D7563"/>
    <w:rsid w:val="000F23C6"/>
    <w:rsid w:val="00104C32"/>
    <w:rsid w:val="00142152"/>
    <w:rsid w:val="00151274"/>
    <w:rsid w:val="00155D40"/>
    <w:rsid w:val="00165CA1"/>
    <w:rsid w:val="00191C0D"/>
    <w:rsid w:val="001C4384"/>
    <w:rsid w:val="001D087F"/>
    <w:rsid w:val="001F1501"/>
    <w:rsid w:val="002132BA"/>
    <w:rsid w:val="002528E0"/>
    <w:rsid w:val="00265722"/>
    <w:rsid w:val="00270EEE"/>
    <w:rsid w:val="00283E15"/>
    <w:rsid w:val="002A4F23"/>
    <w:rsid w:val="002A5EC8"/>
    <w:rsid w:val="002B3499"/>
    <w:rsid w:val="002C356B"/>
    <w:rsid w:val="002E1CBE"/>
    <w:rsid w:val="002E7595"/>
    <w:rsid w:val="002E772D"/>
    <w:rsid w:val="002F69BE"/>
    <w:rsid w:val="0030240B"/>
    <w:rsid w:val="00331A07"/>
    <w:rsid w:val="00390301"/>
    <w:rsid w:val="00392842"/>
    <w:rsid w:val="003D4980"/>
    <w:rsid w:val="003E465D"/>
    <w:rsid w:val="00411806"/>
    <w:rsid w:val="004232EF"/>
    <w:rsid w:val="004527A2"/>
    <w:rsid w:val="004618FA"/>
    <w:rsid w:val="0047094D"/>
    <w:rsid w:val="00490930"/>
    <w:rsid w:val="004950E5"/>
    <w:rsid w:val="004A5366"/>
    <w:rsid w:val="004A7115"/>
    <w:rsid w:val="004B3F20"/>
    <w:rsid w:val="004C14FC"/>
    <w:rsid w:val="004D540F"/>
    <w:rsid w:val="004E3CF4"/>
    <w:rsid w:val="00507AFA"/>
    <w:rsid w:val="00513ECF"/>
    <w:rsid w:val="00541CD2"/>
    <w:rsid w:val="005771AE"/>
    <w:rsid w:val="005774C2"/>
    <w:rsid w:val="005813F9"/>
    <w:rsid w:val="005A4A4B"/>
    <w:rsid w:val="005E77D2"/>
    <w:rsid w:val="00605065"/>
    <w:rsid w:val="00625056"/>
    <w:rsid w:val="00633A2D"/>
    <w:rsid w:val="00657E42"/>
    <w:rsid w:val="00662A4F"/>
    <w:rsid w:val="006663E4"/>
    <w:rsid w:val="00693735"/>
    <w:rsid w:val="006A02A2"/>
    <w:rsid w:val="006A646A"/>
    <w:rsid w:val="006C5162"/>
    <w:rsid w:val="006D71D0"/>
    <w:rsid w:val="006E3387"/>
    <w:rsid w:val="0070571C"/>
    <w:rsid w:val="00710430"/>
    <w:rsid w:val="00723F8E"/>
    <w:rsid w:val="0072782D"/>
    <w:rsid w:val="007316BA"/>
    <w:rsid w:val="007319F4"/>
    <w:rsid w:val="007519AF"/>
    <w:rsid w:val="00770F88"/>
    <w:rsid w:val="0077570C"/>
    <w:rsid w:val="007B3FA0"/>
    <w:rsid w:val="007D3187"/>
    <w:rsid w:val="007E420B"/>
    <w:rsid w:val="007E7A74"/>
    <w:rsid w:val="007F24D4"/>
    <w:rsid w:val="00814876"/>
    <w:rsid w:val="00814BCC"/>
    <w:rsid w:val="00822446"/>
    <w:rsid w:val="0085560B"/>
    <w:rsid w:val="00885C8D"/>
    <w:rsid w:val="008B585F"/>
    <w:rsid w:val="008D0BF5"/>
    <w:rsid w:val="008F56CD"/>
    <w:rsid w:val="00924387"/>
    <w:rsid w:val="00926AA1"/>
    <w:rsid w:val="009512DC"/>
    <w:rsid w:val="009633AB"/>
    <w:rsid w:val="00966009"/>
    <w:rsid w:val="00971792"/>
    <w:rsid w:val="009730A2"/>
    <w:rsid w:val="009766E4"/>
    <w:rsid w:val="009978CF"/>
    <w:rsid w:val="009A2952"/>
    <w:rsid w:val="009B6BD8"/>
    <w:rsid w:val="009C1495"/>
    <w:rsid w:val="009C1EB7"/>
    <w:rsid w:val="009C5690"/>
    <w:rsid w:val="009D0076"/>
    <w:rsid w:val="009D65EF"/>
    <w:rsid w:val="009F78FA"/>
    <w:rsid w:val="00A0195D"/>
    <w:rsid w:val="00A23C7A"/>
    <w:rsid w:val="00A33A90"/>
    <w:rsid w:val="00A577DB"/>
    <w:rsid w:val="00A731DD"/>
    <w:rsid w:val="00A771C7"/>
    <w:rsid w:val="00A774FB"/>
    <w:rsid w:val="00A8292A"/>
    <w:rsid w:val="00AB3533"/>
    <w:rsid w:val="00AC17F8"/>
    <w:rsid w:val="00B002DF"/>
    <w:rsid w:val="00B11B89"/>
    <w:rsid w:val="00B17F4B"/>
    <w:rsid w:val="00B430E6"/>
    <w:rsid w:val="00B54786"/>
    <w:rsid w:val="00B719D5"/>
    <w:rsid w:val="00B84F26"/>
    <w:rsid w:val="00B85935"/>
    <w:rsid w:val="00B9468F"/>
    <w:rsid w:val="00B954E9"/>
    <w:rsid w:val="00BC6817"/>
    <w:rsid w:val="00BE2E7E"/>
    <w:rsid w:val="00C00E1D"/>
    <w:rsid w:val="00C1402B"/>
    <w:rsid w:val="00C42288"/>
    <w:rsid w:val="00C7422B"/>
    <w:rsid w:val="00C839DB"/>
    <w:rsid w:val="00C935F7"/>
    <w:rsid w:val="00CA2737"/>
    <w:rsid w:val="00CA42B0"/>
    <w:rsid w:val="00CA4BF1"/>
    <w:rsid w:val="00CC6F12"/>
    <w:rsid w:val="00CF599C"/>
    <w:rsid w:val="00D071B7"/>
    <w:rsid w:val="00D45A2C"/>
    <w:rsid w:val="00D57D9D"/>
    <w:rsid w:val="00D630BD"/>
    <w:rsid w:val="00D8617A"/>
    <w:rsid w:val="00DA1FA5"/>
    <w:rsid w:val="00DC0159"/>
    <w:rsid w:val="00DD0078"/>
    <w:rsid w:val="00DF70C8"/>
    <w:rsid w:val="00E1322D"/>
    <w:rsid w:val="00E13B47"/>
    <w:rsid w:val="00E224F0"/>
    <w:rsid w:val="00E23DF9"/>
    <w:rsid w:val="00E2676D"/>
    <w:rsid w:val="00E33AE5"/>
    <w:rsid w:val="00E41F87"/>
    <w:rsid w:val="00E568FE"/>
    <w:rsid w:val="00E646CE"/>
    <w:rsid w:val="00EA1EE9"/>
    <w:rsid w:val="00EC0BFF"/>
    <w:rsid w:val="00ED38ED"/>
    <w:rsid w:val="00F15ED4"/>
    <w:rsid w:val="00F57D9B"/>
    <w:rsid w:val="00F72918"/>
    <w:rsid w:val="00F7483C"/>
    <w:rsid w:val="00F967EE"/>
    <w:rsid w:val="00FA7A4F"/>
    <w:rsid w:val="00FD0588"/>
    <w:rsid w:val="00FD06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8F79F0B-18A7-4C8D-995A-BE235FD8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4A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A4A4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83E15"/>
  </w:style>
  <w:style w:type="character" w:customStyle="1" w:styleId="FootnoteTextChar">
    <w:name w:val="Footnote Text Char"/>
    <w:basedOn w:val="DefaultParagraphFont"/>
    <w:link w:val="FootnoteText"/>
    <w:uiPriority w:val="99"/>
    <w:rsid w:val="00283E15"/>
  </w:style>
  <w:style w:type="character" w:styleId="FootnoteReference">
    <w:name w:val="footnote reference"/>
    <w:basedOn w:val="DefaultParagraphFont"/>
    <w:uiPriority w:val="99"/>
    <w:unhideWhenUsed/>
    <w:rsid w:val="00283E15"/>
    <w:rPr>
      <w:vertAlign w:val="superscript"/>
    </w:rPr>
  </w:style>
  <w:style w:type="paragraph" w:styleId="ListParagraph">
    <w:name w:val="List Paragraph"/>
    <w:basedOn w:val="Normal"/>
    <w:uiPriority w:val="34"/>
    <w:qFormat/>
    <w:rsid w:val="00AB3533"/>
    <w:pPr>
      <w:ind w:left="720"/>
      <w:contextualSpacing/>
    </w:pPr>
  </w:style>
  <w:style w:type="character" w:styleId="CommentReference">
    <w:name w:val="annotation reference"/>
    <w:basedOn w:val="DefaultParagraphFont"/>
    <w:uiPriority w:val="99"/>
    <w:semiHidden/>
    <w:unhideWhenUsed/>
    <w:rsid w:val="00331A07"/>
    <w:rPr>
      <w:sz w:val="18"/>
      <w:szCs w:val="18"/>
    </w:rPr>
  </w:style>
  <w:style w:type="paragraph" w:styleId="CommentText">
    <w:name w:val="annotation text"/>
    <w:basedOn w:val="Normal"/>
    <w:link w:val="CommentTextChar"/>
    <w:uiPriority w:val="99"/>
    <w:semiHidden/>
    <w:unhideWhenUsed/>
    <w:rsid w:val="00331A07"/>
  </w:style>
  <w:style w:type="character" w:customStyle="1" w:styleId="CommentTextChar">
    <w:name w:val="Comment Text Char"/>
    <w:basedOn w:val="DefaultParagraphFont"/>
    <w:link w:val="CommentText"/>
    <w:uiPriority w:val="99"/>
    <w:semiHidden/>
    <w:rsid w:val="00331A07"/>
  </w:style>
  <w:style w:type="paragraph" w:styleId="CommentSubject">
    <w:name w:val="annotation subject"/>
    <w:basedOn w:val="CommentText"/>
    <w:next w:val="CommentText"/>
    <w:link w:val="CommentSubjectChar"/>
    <w:uiPriority w:val="99"/>
    <w:semiHidden/>
    <w:unhideWhenUsed/>
    <w:rsid w:val="00331A07"/>
    <w:rPr>
      <w:b/>
      <w:bCs/>
      <w:sz w:val="20"/>
      <w:szCs w:val="20"/>
    </w:rPr>
  </w:style>
  <w:style w:type="character" w:customStyle="1" w:styleId="CommentSubjectChar">
    <w:name w:val="Comment Subject Char"/>
    <w:basedOn w:val="CommentTextChar"/>
    <w:link w:val="CommentSubject"/>
    <w:uiPriority w:val="99"/>
    <w:semiHidden/>
    <w:rsid w:val="00331A07"/>
    <w:rPr>
      <w:b/>
      <w:bCs/>
      <w:sz w:val="20"/>
      <w:szCs w:val="20"/>
    </w:rPr>
  </w:style>
  <w:style w:type="paragraph" w:styleId="BalloonText">
    <w:name w:val="Balloon Text"/>
    <w:basedOn w:val="Normal"/>
    <w:link w:val="BalloonTextChar"/>
    <w:uiPriority w:val="99"/>
    <w:semiHidden/>
    <w:unhideWhenUsed/>
    <w:rsid w:val="00331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07"/>
    <w:rPr>
      <w:rFonts w:ascii="Lucida Grande" w:hAnsi="Lucida Grande" w:cs="Lucida Grande"/>
      <w:sz w:val="18"/>
      <w:szCs w:val="18"/>
    </w:rPr>
  </w:style>
  <w:style w:type="paragraph" w:styleId="Header">
    <w:name w:val="header"/>
    <w:basedOn w:val="Normal"/>
    <w:link w:val="HeaderChar"/>
    <w:uiPriority w:val="99"/>
    <w:unhideWhenUsed/>
    <w:rsid w:val="002132BA"/>
    <w:pPr>
      <w:tabs>
        <w:tab w:val="center" w:pos="4513"/>
        <w:tab w:val="right" w:pos="9026"/>
      </w:tabs>
    </w:pPr>
  </w:style>
  <w:style w:type="character" w:customStyle="1" w:styleId="HeaderChar">
    <w:name w:val="Header Char"/>
    <w:basedOn w:val="DefaultParagraphFont"/>
    <w:link w:val="Header"/>
    <w:uiPriority w:val="99"/>
    <w:rsid w:val="002132BA"/>
  </w:style>
  <w:style w:type="paragraph" w:styleId="Footer">
    <w:name w:val="footer"/>
    <w:basedOn w:val="Normal"/>
    <w:link w:val="FooterChar"/>
    <w:uiPriority w:val="99"/>
    <w:unhideWhenUsed/>
    <w:rsid w:val="002132BA"/>
    <w:pPr>
      <w:tabs>
        <w:tab w:val="center" w:pos="4513"/>
        <w:tab w:val="right" w:pos="9026"/>
      </w:tabs>
    </w:pPr>
  </w:style>
  <w:style w:type="character" w:customStyle="1" w:styleId="FooterChar">
    <w:name w:val="Footer Char"/>
    <w:basedOn w:val="DefaultParagraphFont"/>
    <w:link w:val="Footer"/>
    <w:uiPriority w:val="99"/>
    <w:rsid w:val="002132BA"/>
  </w:style>
  <w:style w:type="character" w:styleId="Hyperlink">
    <w:name w:val="Hyperlink"/>
    <w:basedOn w:val="DefaultParagraphFont"/>
    <w:uiPriority w:val="99"/>
    <w:unhideWhenUsed/>
    <w:rsid w:val="00CA4BF1"/>
    <w:rPr>
      <w:color w:val="0000FF" w:themeColor="hyperlink"/>
      <w:u w:val="single"/>
    </w:rPr>
  </w:style>
  <w:style w:type="paragraph" w:styleId="NoSpacing">
    <w:name w:val="No Spacing"/>
    <w:link w:val="NoSpacingChar"/>
    <w:uiPriority w:val="1"/>
    <w:qFormat/>
    <w:rsid w:val="00E23DF9"/>
    <w:rPr>
      <w:sz w:val="22"/>
      <w:szCs w:val="22"/>
      <w:lang w:val="en-US"/>
    </w:rPr>
  </w:style>
  <w:style w:type="character" w:customStyle="1" w:styleId="NoSpacingChar">
    <w:name w:val="No Spacing Char"/>
    <w:basedOn w:val="DefaultParagraphFont"/>
    <w:link w:val="NoSpacing"/>
    <w:uiPriority w:val="1"/>
    <w:rsid w:val="00E23DF9"/>
    <w:rPr>
      <w:sz w:val="22"/>
      <w:szCs w:val="22"/>
      <w:lang w:val="en-US"/>
    </w:rPr>
  </w:style>
  <w:style w:type="paragraph" w:styleId="Title">
    <w:name w:val="Title"/>
    <w:basedOn w:val="Normal"/>
    <w:next w:val="Normal"/>
    <w:link w:val="TitleChar"/>
    <w:uiPriority w:val="10"/>
    <w:qFormat/>
    <w:rsid w:val="00E2676D"/>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E2676D"/>
    <w:rPr>
      <w:rFonts w:ascii="Cambria" w:eastAsia="Times New Roman" w:hAnsi="Cambria" w:cs="Times New Roman"/>
      <w:color w:val="17365D"/>
      <w:spacing w:val="5"/>
      <w:kern w:val="28"/>
      <w:sz w:val="52"/>
      <w:szCs w:val="5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E1C8-6E83-474E-87A4-CCA61ADF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1483</Words>
  <Characters>8456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Cover page</vt:lpstr>
    </vt:vector>
  </TitlesOfParts>
  <Company>Griffith University</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13/2016 - Minor Amendments to the Queensland Allowances System</dc:title>
  <dc:subject>\</dc:subject>
  <dc:creator>Anne-Maree Tiernan</dc:creator>
  <cp:keywords>Determination 13/2016 - Minor Amendments to the Queensland Allowances System</cp:keywords>
  <dc:description/>
  <cp:lastModifiedBy>Janelle Hocking</cp:lastModifiedBy>
  <cp:revision>2</cp:revision>
  <cp:lastPrinted>2016-08-26T04:17:00Z</cp:lastPrinted>
  <dcterms:created xsi:type="dcterms:W3CDTF">2016-12-15T23:23:00Z</dcterms:created>
  <dcterms:modified xsi:type="dcterms:W3CDTF">2016-12-15T23:23:00Z</dcterms:modified>
</cp:coreProperties>
</file>