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531691"/>
        <w:docPartObj>
          <w:docPartGallery w:val="Cover Pages"/>
          <w:docPartUnique/>
        </w:docPartObj>
      </w:sdtPr>
      <w:sdtEndPr>
        <w:rPr>
          <w:b/>
          <w:bCs/>
        </w:rPr>
      </w:sdtEndPr>
      <w:sdtContent>
        <w:tbl>
          <w:tblPr>
            <w:tblpPr w:leftFromText="187" w:rightFromText="187" w:horzAnchor="margin" w:tblpXSpec="center" w:tblpYSpec="bottom"/>
            <w:tblW w:w="7027" w:type="pct"/>
            <w:tblLook w:val="04A0" w:firstRow="1" w:lastRow="0" w:firstColumn="1" w:lastColumn="0" w:noHBand="0" w:noVBand="1"/>
          </w:tblPr>
          <w:tblGrid>
            <w:gridCol w:w="12050"/>
          </w:tblGrid>
          <w:tr w:rsidR="00E23DF9" w:rsidTr="007E420B">
            <w:trPr>
              <w:trHeight w:val="64"/>
            </w:trPr>
            <w:tc>
              <w:tcPr>
                <w:tcW w:w="11673" w:type="dxa"/>
                <w:tcMar>
                  <w:top w:w="216" w:type="dxa"/>
                  <w:left w:w="115" w:type="dxa"/>
                  <w:bottom w:w="216" w:type="dxa"/>
                  <w:right w:w="115" w:type="dxa"/>
                </w:tcMar>
              </w:tcPr>
              <w:p w:rsidR="00E23DF9" w:rsidRDefault="007E420B" w:rsidP="007E420B">
                <w:pPr>
                  <w:ind w:left="-1899" w:firstLine="1899"/>
                  <w:rPr>
                    <w:color w:val="4F81BD" w:themeColor="accent1"/>
                  </w:rPr>
                </w:pPr>
                <w:r w:rsidRPr="007E420B">
                  <w:rPr>
                    <w:b/>
                    <w:bCs/>
                    <w:noProof/>
                    <w:lang w:eastAsia="en-AU"/>
                  </w:rPr>
                  <w:drawing>
                    <wp:anchor distT="0" distB="0" distL="114300" distR="114300" simplePos="0" relativeHeight="251664384" behindDoc="0" locked="0" layoutInCell="1" allowOverlap="1">
                      <wp:simplePos x="0" y="0"/>
                      <wp:positionH relativeFrom="column">
                        <wp:posOffset>3175</wp:posOffset>
                      </wp:positionH>
                      <wp:positionV relativeFrom="paragraph">
                        <wp:posOffset>322</wp:posOffset>
                      </wp:positionV>
                      <wp:extent cx="7506268" cy="10623121"/>
                      <wp:effectExtent l="0" t="0" r="0" b="6985"/>
                      <wp:wrapThrough wrapText="bothSides">
                        <wp:wrapPolygon edited="0">
                          <wp:start x="0" y="0"/>
                          <wp:lineTo x="0" y="21575"/>
                          <wp:lineTo x="21545" y="21575"/>
                          <wp:lineTo x="21545" y="0"/>
                          <wp:lineTo x="0" y="0"/>
                        </wp:wrapPolygon>
                      </wp:wrapThrough>
                      <wp:docPr id="6" name="Picture 6" descr="C:\Users\bargej\AppData\Local\Microsoft\Windows\INetCache\Content.Outlook\YLORDKSG\DPC5212 QIRT Review of Salary Levels of MP's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gej\AppData\Local\Microsoft\Windows\INetCache\Content.Outlook\YLORDKSG\DPC5212 QIRT Review of Salary Levels of MP's 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6268" cy="106231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23DF9" w:rsidRPr="009730A2" w:rsidRDefault="005774C2" w:rsidP="009730A2">
          <w:pPr>
            <w:spacing w:line="276" w:lineRule="auto"/>
            <w:rPr>
              <w:rFonts w:asciiTheme="majorHAnsi" w:hAnsiTheme="majorHAnsi" w:cs="Arial"/>
              <w:bCs/>
            </w:rPr>
          </w:pPr>
        </w:p>
      </w:sdtContent>
    </w:sdt>
    <w:p w:rsidR="00B85935" w:rsidRPr="0047094D" w:rsidRDefault="00B85935" w:rsidP="0047094D">
      <w:pPr>
        <w:spacing w:line="276" w:lineRule="auto"/>
        <w:rPr>
          <w:rFonts w:asciiTheme="majorHAnsi" w:hAnsiTheme="majorHAnsi" w:cs="Arial"/>
          <w:bCs/>
        </w:rPr>
      </w:pPr>
      <w:r w:rsidRPr="0047094D">
        <w:rPr>
          <w:rFonts w:asciiTheme="majorHAnsi" w:hAnsiTheme="majorHAnsi" w:cs="Arial"/>
          <w:bCs/>
        </w:rPr>
        <w:t xml:space="preserve">The Queensland Independent Remuneration Tribunal (the Tribunal) is an independent statutory authority established by the </w:t>
      </w:r>
      <w:r w:rsidRPr="009730A2">
        <w:rPr>
          <w:rFonts w:asciiTheme="majorHAnsi" w:hAnsiTheme="majorHAnsi" w:cs="Arial"/>
          <w:bCs/>
          <w:i/>
        </w:rPr>
        <w:t>Queensland Independent Remuneration Tribunal Act 2013</w:t>
      </w:r>
      <w:r w:rsidRPr="0047094D">
        <w:rPr>
          <w:rFonts w:asciiTheme="majorHAnsi" w:hAnsiTheme="majorHAnsi" w:cs="Arial"/>
          <w:bCs/>
        </w:rPr>
        <w:t xml:space="preserve"> (the Act). </w:t>
      </w:r>
    </w:p>
    <w:p w:rsidR="00B85935" w:rsidRDefault="00B85935" w:rsidP="00B85935">
      <w:pPr>
        <w:rPr>
          <w:rFonts w:asciiTheme="majorHAnsi" w:hAnsiTheme="majorHAnsi"/>
        </w:rPr>
      </w:pPr>
    </w:p>
    <w:p w:rsidR="005A4A4B" w:rsidRPr="0047094D" w:rsidRDefault="00B85935" w:rsidP="0047094D">
      <w:pPr>
        <w:spacing w:line="276" w:lineRule="auto"/>
        <w:rPr>
          <w:rFonts w:asciiTheme="majorHAnsi" w:hAnsiTheme="majorHAnsi" w:cs="Arial"/>
          <w:bCs/>
        </w:rPr>
      </w:pPr>
      <w:r w:rsidRPr="0047094D">
        <w:rPr>
          <w:rFonts w:asciiTheme="majorHAnsi" w:hAnsiTheme="majorHAnsi" w:cs="Arial"/>
          <w:bCs/>
        </w:rPr>
        <w:t>The Tribunal has made salary determinations in accordance with section 27 of the Act (as amended) which provides for ‘…the power to make determinations about remunerat</w:t>
      </w:r>
      <w:r w:rsidR="00770F88" w:rsidRPr="0047094D">
        <w:rPr>
          <w:rFonts w:asciiTheme="majorHAnsi" w:hAnsiTheme="majorHAnsi" w:cs="Arial"/>
          <w:bCs/>
        </w:rPr>
        <w:t>ion in connection with members [MPs]</w:t>
      </w:r>
      <w:r w:rsidRPr="0047094D">
        <w:rPr>
          <w:rFonts w:asciiTheme="majorHAnsi" w:hAnsiTheme="majorHAnsi" w:cs="Arial"/>
          <w:bCs/>
        </w:rPr>
        <w:t xml:space="preserve"> and former members of the </w:t>
      </w:r>
      <w:r w:rsidR="00770F88" w:rsidRPr="0047094D">
        <w:rPr>
          <w:rFonts w:asciiTheme="majorHAnsi" w:hAnsiTheme="majorHAnsi" w:cs="Arial"/>
          <w:bCs/>
        </w:rPr>
        <w:t>[</w:t>
      </w:r>
      <w:r w:rsidRPr="0047094D">
        <w:rPr>
          <w:rFonts w:asciiTheme="majorHAnsi" w:hAnsiTheme="majorHAnsi" w:cs="Arial"/>
          <w:bCs/>
        </w:rPr>
        <w:t>Q</w:t>
      </w:r>
      <w:r w:rsidR="00770F88" w:rsidRPr="0047094D">
        <w:rPr>
          <w:rFonts w:asciiTheme="majorHAnsi" w:hAnsiTheme="majorHAnsi" w:cs="Arial"/>
          <w:bCs/>
        </w:rPr>
        <w:t>ueensland Legislative] Assembly [</w:t>
      </w:r>
      <w:r w:rsidRPr="0047094D">
        <w:rPr>
          <w:rFonts w:asciiTheme="majorHAnsi" w:hAnsiTheme="majorHAnsi" w:cs="Arial"/>
          <w:bCs/>
        </w:rPr>
        <w:t>the Assembly</w:t>
      </w:r>
      <w:r w:rsidR="00770F88" w:rsidRPr="0047094D">
        <w:rPr>
          <w:rFonts w:asciiTheme="majorHAnsi" w:hAnsiTheme="majorHAnsi" w:cs="Arial"/>
          <w:bCs/>
        </w:rPr>
        <w:t>]’</w:t>
      </w:r>
      <w:r w:rsidRPr="0047094D">
        <w:rPr>
          <w:rFonts w:asciiTheme="majorHAnsi" w:hAnsiTheme="majorHAnsi" w:cs="Arial"/>
          <w:bCs/>
        </w:rPr>
        <w:t>.</w:t>
      </w:r>
    </w:p>
    <w:p w:rsidR="00B85935" w:rsidRPr="0047094D" w:rsidRDefault="00B85935" w:rsidP="0047094D">
      <w:pPr>
        <w:spacing w:line="276" w:lineRule="auto"/>
        <w:rPr>
          <w:rFonts w:asciiTheme="majorHAnsi" w:hAnsiTheme="majorHAnsi" w:cs="Arial"/>
          <w:bCs/>
        </w:rPr>
      </w:pPr>
    </w:p>
    <w:p w:rsidR="00B85935" w:rsidRPr="0047094D" w:rsidRDefault="00B85935" w:rsidP="0047094D">
      <w:pPr>
        <w:spacing w:line="276" w:lineRule="auto"/>
        <w:rPr>
          <w:rFonts w:asciiTheme="majorHAnsi" w:hAnsiTheme="majorHAnsi" w:cs="Arial"/>
          <w:bCs/>
        </w:rPr>
      </w:pPr>
      <w:r w:rsidRPr="0047094D">
        <w:rPr>
          <w:rFonts w:asciiTheme="majorHAnsi" w:hAnsiTheme="majorHAnsi" w:cs="Arial"/>
          <w:bCs/>
        </w:rPr>
        <w:t>The definition of ‘remuneration’ under the Act includes the annual salary (s41), the additional salary (s42) and associated allowances (s54) payable to an MP for performing roles as an office holder in addition to that of an MP in the Queensland Legislative Assembly.</w:t>
      </w:r>
    </w:p>
    <w:p w:rsidR="00AC17F8" w:rsidRDefault="00AC17F8" w:rsidP="00B85935">
      <w:pPr>
        <w:rPr>
          <w:rFonts w:asciiTheme="majorHAnsi" w:hAnsiTheme="majorHAnsi"/>
        </w:rPr>
      </w:pPr>
    </w:p>
    <w:p w:rsidR="005A4A4B" w:rsidRDefault="00B85935" w:rsidP="005A4A4B">
      <w:pPr>
        <w:pStyle w:val="Heading2"/>
      </w:pPr>
      <w:r>
        <w:t>Background</w:t>
      </w:r>
    </w:p>
    <w:p w:rsidR="005A4A4B" w:rsidRDefault="005A4A4B" w:rsidP="005A4A4B"/>
    <w:p w:rsidR="00710430" w:rsidRDefault="00B85935" w:rsidP="00B85935">
      <w:pPr>
        <w:spacing w:line="276" w:lineRule="auto"/>
        <w:rPr>
          <w:rFonts w:asciiTheme="majorHAnsi" w:hAnsiTheme="majorHAnsi" w:cs="Arial"/>
          <w:bCs/>
        </w:rPr>
      </w:pPr>
      <w:r w:rsidRPr="00B85935">
        <w:rPr>
          <w:rFonts w:asciiTheme="majorHAnsi" w:hAnsiTheme="majorHAnsi" w:cs="Arial"/>
          <w:bCs/>
        </w:rPr>
        <w:t xml:space="preserve">On </w:t>
      </w:r>
      <w:r w:rsidRPr="00657E42">
        <w:rPr>
          <w:rFonts w:asciiTheme="majorHAnsi" w:hAnsiTheme="majorHAnsi" w:cs="Arial"/>
          <w:bCs/>
        </w:rPr>
        <w:t>1 June 2015</w:t>
      </w:r>
      <w:r w:rsidRPr="00B85935">
        <w:rPr>
          <w:rFonts w:asciiTheme="majorHAnsi" w:hAnsiTheme="majorHAnsi" w:cs="Arial"/>
          <w:bCs/>
        </w:rPr>
        <w:t xml:space="preserve"> the Act was amended.</w:t>
      </w:r>
      <w:r w:rsidR="00283E15">
        <w:rPr>
          <w:rStyle w:val="FootnoteReference"/>
          <w:rFonts w:asciiTheme="majorHAnsi" w:hAnsiTheme="majorHAnsi" w:cs="Arial"/>
          <w:bCs/>
        </w:rPr>
        <w:footnoteReference w:id="1"/>
      </w:r>
      <w:r w:rsidRPr="00B85935">
        <w:rPr>
          <w:rFonts w:asciiTheme="majorHAnsi" w:hAnsiTheme="majorHAnsi" w:cs="Arial"/>
          <w:bCs/>
        </w:rPr>
        <w:t xml:space="preserve"> Sections 31A and 31B were added. Section </w:t>
      </w:r>
      <w:r>
        <w:rPr>
          <w:rFonts w:asciiTheme="majorHAnsi" w:hAnsiTheme="majorHAnsi" w:cs="Arial"/>
          <w:bCs/>
        </w:rPr>
        <w:t xml:space="preserve">31A (1) </w:t>
      </w:r>
      <w:r w:rsidRPr="00B85935">
        <w:rPr>
          <w:rFonts w:asciiTheme="majorHAnsi" w:hAnsiTheme="majorHAnsi" w:cs="Arial"/>
          <w:bCs/>
        </w:rPr>
        <w:t>provides that the Tribunal may not make a determination unless a public service salary decision has been made. That section further provides that the Tribunal must make determinations about members’ salary w</w:t>
      </w:r>
      <w:r>
        <w:rPr>
          <w:rFonts w:asciiTheme="majorHAnsi" w:hAnsiTheme="majorHAnsi" w:cs="Arial"/>
          <w:bCs/>
        </w:rPr>
        <w:t>ithin 90 days of such a decision (s31A (2))</w:t>
      </w:r>
      <w:r w:rsidRPr="00B85935">
        <w:rPr>
          <w:rFonts w:asciiTheme="majorHAnsi" w:hAnsiTheme="majorHAnsi" w:cs="Arial"/>
          <w:bCs/>
        </w:rPr>
        <w:t xml:space="preserve">. </w:t>
      </w:r>
      <w:r w:rsidR="00710430">
        <w:rPr>
          <w:rFonts w:asciiTheme="majorHAnsi" w:hAnsiTheme="majorHAnsi" w:cs="Arial"/>
          <w:bCs/>
        </w:rPr>
        <w:t>Section 31A (3)</w:t>
      </w:r>
      <w:r w:rsidRPr="00B85935">
        <w:rPr>
          <w:rFonts w:asciiTheme="majorHAnsi" w:hAnsiTheme="majorHAnsi" w:cs="Arial"/>
          <w:bCs/>
        </w:rPr>
        <w:t xml:space="preserve"> provides that members’ salaries </w:t>
      </w:r>
      <w:r w:rsidR="00710430">
        <w:rPr>
          <w:rFonts w:asciiTheme="majorHAnsi" w:hAnsiTheme="majorHAnsi" w:cs="Arial"/>
          <w:bCs/>
        </w:rPr>
        <w:t>may not increase by a rate that is higher than the rate of increase to the salary or wage of a departmental employee under the public service salary decision. Any increases to a member’s salary entitlement are to take effect at the same time as increases under such a decision (s31A</w:t>
      </w:r>
      <w:r w:rsidR="00D45A2C">
        <w:rPr>
          <w:rFonts w:asciiTheme="majorHAnsi" w:hAnsiTheme="majorHAnsi" w:cs="Arial"/>
          <w:bCs/>
        </w:rPr>
        <w:t xml:space="preserve"> </w:t>
      </w:r>
      <w:r w:rsidR="00710430">
        <w:rPr>
          <w:rFonts w:asciiTheme="majorHAnsi" w:hAnsiTheme="majorHAnsi" w:cs="Arial"/>
          <w:bCs/>
        </w:rPr>
        <w:t>(4)).</w:t>
      </w:r>
    </w:p>
    <w:p w:rsidR="00657E42" w:rsidRDefault="00657E42" w:rsidP="00B85935">
      <w:pPr>
        <w:spacing w:line="276" w:lineRule="auto"/>
        <w:rPr>
          <w:rFonts w:asciiTheme="majorHAnsi" w:hAnsiTheme="majorHAnsi" w:cs="Arial"/>
          <w:bCs/>
        </w:rPr>
      </w:pPr>
    </w:p>
    <w:p w:rsidR="00657E42" w:rsidRDefault="00657E42" w:rsidP="00B85935">
      <w:pPr>
        <w:spacing w:line="276" w:lineRule="auto"/>
        <w:rPr>
          <w:rFonts w:asciiTheme="majorHAnsi" w:hAnsiTheme="majorHAnsi" w:cs="Arial"/>
          <w:bCs/>
        </w:rPr>
      </w:pPr>
      <w:r>
        <w:rPr>
          <w:rFonts w:asciiTheme="majorHAnsi" w:hAnsiTheme="majorHAnsi" w:cs="Arial"/>
          <w:bCs/>
        </w:rPr>
        <w:t>Section 72 of the Act (as amended) revoked the Tribunal’s Determination 7/2015 of 5 March 2015</w:t>
      </w:r>
      <w:r w:rsidR="00A0195D">
        <w:rPr>
          <w:rFonts w:asciiTheme="majorHAnsi" w:hAnsiTheme="majorHAnsi" w:cs="Arial"/>
          <w:bCs/>
        </w:rPr>
        <w:t>, which had</w:t>
      </w:r>
      <w:r w:rsidR="002E1CBE">
        <w:rPr>
          <w:rFonts w:asciiTheme="majorHAnsi" w:hAnsiTheme="majorHAnsi" w:cs="Arial"/>
          <w:bCs/>
        </w:rPr>
        <w:t xml:space="preserve"> increased the base salary for an MP and the levels of additional salaries of office holders by 2.58% effective from 6 April 2015. This amendment returned the base and additional salaries of MPs to 1 July 2013 rates.</w:t>
      </w:r>
    </w:p>
    <w:p w:rsidR="00B85935" w:rsidRPr="00B85935" w:rsidRDefault="00B85935" w:rsidP="00B85935">
      <w:pPr>
        <w:spacing w:line="276" w:lineRule="auto"/>
        <w:rPr>
          <w:rFonts w:asciiTheme="majorHAnsi" w:hAnsiTheme="majorHAnsi" w:cs="Arial"/>
          <w:bCs/>
        </w:rPr>
      </w:pPr>
    </w:p>
    <w:p w:rsidR="00B85935" w:rsidRPr="000C0049" w:rsidRDefault="00B85935" w:rsidP="000C0049">
      <w:pPr>
        <w:spacing w:after="200" w:line="276" w:lineRule="auto"/>
        <w:rPr>
          <w:rFonts w:asciiTheme="majorHAnsi" w:hAnsiTheme="majorHAnsi" w:cs="Arial"/>
          <w:bCs/>
        </w:rPr>
      </w:pPr>
      <w:r w:rsidRPr="000C0049">
        <w:rPr>
          <w:rFonts w:asciiTheme="majorHAnsi" w:hAnsiTheme="majorHAnsi" w:cs="Arial"/>
          <w:bCs/>
        </w:rPr>
        <w:t>On 1 December 2015 the Minister for Employment and Industrial Relations Directive: Remuneration for Certain Employees (Directive 5/15) came into effect. The Tribunal, then differently constituted, considered it to be a public service salary decision under section 31A of the Act and accordingly made salary determinations for members and office holders on 12 January 2016</w:t>
      </w:r>
      <w:r w:rsidR="00A0195D" w:rsidRPr="000C0049">
        <w:rPr>
          <w:rFonts w:asciiTheme="majorHAnsi" w:hAnsiTheme="majorHAnsi" w:cs="Arial"/>
          <w:bCs/>
        </w:rPr>
        <w:t xml:space="preserve"> (Determination 10/2016)</w:t>
      </w:r>
      <w:r w:rsidRPr="000C0049">
        <w:rPr>
          <w:rFonts w:asciiTheme="majorHAnsi" w:hAnsiTheme="majorHAnsi" w:cs="Arial"/>
          <w:bCs/>
        </w:rPr>
        <w:t xml:space="preserve">. </w:t>
      </w:r>
      <w:r w:rsidR="00A0195D" w:rsidRPr="000C0049">
        <w:rPr>
          <w:rFonts w:asciiTheme="majorHAnsi" w:hAnsiTheme="majorHAnsi" w:cs="Arial"/>
          <w:bCs/>
        </w:rPr>
        <w:t xml:space="preserve">The </w:t>
      </w:r>
      <w:r w:rsidR="00A0195D" w:rsidRPr="000C0049">
        <w:rPr>
          <w:rFonts w:asciiTheme="majorHAnsi" w:hAnsiTheme="majorHAnsi" w:cs="Arial"/>
          <w:bCs/>
        </w:rPr>
        <w:lastRenderedPageBreak/>
        <w:t>Tribunal determined that</w:t>
      </w:r>
      <w:r w:rsidRPr="000C0049">
        <w:rPr>
          <w:rFonts w:asciiTheme="majorHAnsi" w:hAnsiTheme="majorHAnsi" w:cs="Arial"/>
          <w:bCs/>
        </w:rPr>
        <w:t xml:space="preserve"> </w:t>
      </w:r>
      <w:r w:rsidR="00A0195D" w:rsidRPr="000C0049">
        <w:rPr>
          <w:rFonts w:asciiTheme="majorHAnsi" w:hAnsiTheme="majorHAnsi" w:cs="Arial"/>
          <w:bCs/>
        </w:rPr>
        <w:t xml:space="preserve">the annual base salary for </w:t>
      </w:r>
      <w:r w:rsidRPr="000C0049">
        <w:rPr>
          <w:rFonts w:asciiTheme="majorHAnsi" w:hAnsiTheme="majorHAnsi" w:cs="Arial"/>
          <w:bCs/>
        </w:rPr>
        <w:t>member</w:t>
      </w:r>
      <w:r w:rsidR="00B17F4B">
        <w:rPr>
          <w:rFonts w:asciiTheme="majorHAnsi" w:hAnsiTheme="majorHAnsi" w:cs="Arial"/>
          <w:bCs/>
        </w:rPr>
        <w:t>s</w:t>
      </w:r>
      <w:r w:rsidR="00A0195D" w:rsidRPr="000C0049">
        <w:rPr>
          <w:rFonts w:asciiTheme="majorHAnsi" w:hAnsiTheme="majorHAnsi" w:cs="Arial"/>
          <w:bCs/>
        </w:rPr>
        <w:t xml:space="preserve"> would increase by 1.73% and that the additional salary for the most senior office holder (the office of Premier) would also increase</w:t>
      </w:r>
      <w:r w:rsidRPr="000C0049">
        <w:rPr>
          <w:rFonts w:asciiTheme="majorHAnsi" w:hAnsiTheme="majorHAnsi" w:cs="Arial"/>
          <w:bCs/>
        </w:rPr>
        <w:t xml:space="preserve"> </w:t>
      </w:r>
      <w:r w:rsidR="00A0195D" w:rsidRPr="000C0049">
        <w:rPr>
          <w:rFonts w:asciiTheme="majorHAnsi" w:hAnsiTheme="majorHAnsi" w:cs="Arial"/>
          <w:bCs/>
        </w:rPr>
        <w:t xml:space="preserve">by 1.73% per annum. </w:t>
      </w:r>
      <w:r w:rsidR="00DC0159" w:rsidRPr="000C0049">
        <w:rPr>
          <w:rFonts w:asciiTheme="majorHAnsi" w:hAnsiTheme="majorHAnsi" w:cs="Arial"/>
          <w:bCs/>
        </w:rPr>
        <w:t xml:space="preserve">Determination </w:t>
      </w:r>
      <w:r w:rsidR="000C0049" w:rsidRPr="000C0049">
        <w:rPr>
          <w:rFonts w:asciiTheme="majorHAnsi" w:hAnsiTheme="majorHAnsi" w:cs="Arial"/>
          <w:bCs/>
        </w:rPr>
        <w:t>10/2016</w:t>
      </w:r>
      <w:r w:rsidR="00A0195D" w:rsidRPr="000C0049">
        <w:rPr>
          <w:rFonts w:asciiTheme="majorHAnsi" w:hAnsiTheme="majorHAnsi" w:cs="Arial"/>
          <w:bCs/>
        </w:rPr>
        <w:t xml:space="preserve"> confirmed the relativities decided in Determination 3/2014 </w:t>
      </w:r>
      <w:r w:rsidR="000C0049" w:rsidRPr="000F23C6">
        <w:rPr>
          <w:rFonts w:asciiTheme="majorHAnsi" w:hAnsiTheme="majorHAnsi" w:cs="Arial"/>
          <w:bCs/>
        </w:rPr>
        <w:t xml:space="preserve">for each office holder, relative to the additional salary of the most senior office holder, would remain unchanged. </w:t>
      </w:r>
      <w:r w:rsidR="00A0195D" w:rsidRPr="000C0049">
        <w:rPr>
          <w:rFonts w:asciiTheme="majorHAnsi" w:hAnsiTheme="majorHAnsi" w:cs="Arial"/>
          <w:bCs/>
        </w:rPr>
        <w:t xml:space="preserve">Consistent with the requirements of the Act </w:t>
      </w:r>
      <w:r w:rsidR="00DC0159" w:rsidRPr="000C0049">
        <w:rPr>
          <w:rFonts w:asciiTheme="majorHAnsi" w:hAnsiTheme="majorHAnsi" w:cs="Arial"/>
          <w:bCs/>
        </w:rPr>
        <w:t xml:space="preserve">and Directive 5/15, the increases took effect </w:t>
      </w:r>
      <w:r w:rsidRPr="000C0049">
        <w:rPr>
          <w:rFonts w:asciiTheme="majorHAnsi" w:hAnsiTheme="majorHAnsi" w:cs="Arial"/>
          <w:bCs/>
        </w:rPr>
        <w:t xml:space="preserve">from 1 September 2015. </w:t>
      </w:r>
    </w:p>
    <w:p w:rsidR="00DC0159" w:rsidRDefault="00DC0159" w:rsidP="00DC0159">
      <w:pPr>
        <w:spacing w:line="276" w:lineRule="auto"/>
        <w:rPr>
          <w:rFonts w:asciiTheme="majorHAnsi" w:hAnsiTheme="majorHAnsi" w:cs="Arial"/>
          <w:bCs/>
        </w:rPr>
      </w:pPr>
      <w:r w:rsidRPr="00DC0159">
        <w:rPr>
          <w:rFonts w:asciiTheme="majorHAnsi" w:hAnsiTheme="majorHAnsi" w:cs="Arial"/>
          <w:bCs/>
        </w:rPr>
        <w:t xml:space="preserve">On 1 June 2016 the </w:t>
      </w:r>
      <w:r>
        <w:rPr>
          <w:rFonts w:asciiTheme="majorHAnsi" w:hAnsiTheme="majorHAnsi" w:cs="Arial"/>
          <w:bCs/>
        </w:rPr>
        <w:t>‘</w:t>
      </w:r>
      <w:r w:rsidRPr="00DC0159">
        <w:rPr>
          <w:rFonts w:asciiTheme="majorHAnsi" w:hAnsiTheme="majorHAnsi" w:cs="Arial"/>
          <w:bCs/>
        </w:rPr>
        <w:t>State Government Entities Certified Agreement 2015</w:t>
      </w:r>
      <w:r>
        <w:rPr>
          <w:rFonts w:asciiTheme="majorHAnsi" w:hAnsiTheme="majorHAnsi" w:cs="Arial"/>
          <w:bCs/>
        </w:rPr>
        <w:t>’</w:t>
      </w:r>
      <w:r w:rsidRPr="00DC0159">
        <w:rPr>
          <w:rFonts w:asciiTheme="majorHAnsi" w:hAnsiTheme="majorHAnsi" w:cs="Arial"/>
          <w:bCs/>
        </w:rPr>
        <w:t xml:space="preserve"> </w:t>
      </w:r>
      <w:r>
        <w:rPr>
          <w:rFonts w:asciiTheme="majorHAnsi" w:hAnsiTheme="majorHAnsi" w:cs="Arial"/>
          <w:bCs/>
        </w:rPr>
        <w:t>was certified by the Queensland Industrial Relations Commission</w:t>
      </w:r>
      <w:r w:rsidRPr="00DC0159">
        <w:rPr>
          <w:rFonts w:asciiTheme="majorHAnsi" w:hAnsiTheme="majorHAnsi" w:cs="Arial"/>
          <w:bCs/>
        </w:rPr>
        <w:t xml:space="preserve">. </w:t>
      </w:r>
      <w:r>
        <w:rPr>
          <w:rFonts w:asciiTheme="majorHAnsi" w:hAnsiTheme="majorHAnsi" w:cs="Arial"/>
          <w:bCs/>
        </w:rPr>
        <w:t xml:space="preserve">This agreement </w:t>
      </w:r>
      <w:r w:rsidRPr="00DC0159">
        <w:rPr>
          <w:rFonts w:asciiTheme="majorHAnsi" w:hAnsiTheme="majorHAnsi" w:cs="Arial"/>
          <w:bCs/>
        </w:rPr>
        <w:t>(section 2.1(1)</w:t>
      </w:r>
      <w:r w:rsidR="005813F9">
        <w:rPr>
          <w:rFonts w:asciiTheme="majorHAnsi" w:hAnsiTheme="majorHAnsi" w:cs="Arial"/>
          <w:bCs/>
        </w:rPr>
        <w:t>)</w:t>
      </w:r>
      <w:r>
        <w:rPr>
          <w:rFonts w:asciiTheme="majorHAnsi" w:hAnsiTheme="majorHAnsi" w:cs="Arial"/>
          <w:bCs/>
        </w:rPr>
        <w:t xml:space="preserve"> provides for salary increases of 2.5% to public service employees on 1 September each year (commencing 1 September 2015) until the agreement expires on 31 August 2018.</w:t>
      </w:r>
    </w:p>
    <w:p w:rsidR="00DC0159" w:rsidRDefault="00DC0159" w:rsidP="00DC0159">
      <w:pPr>
        <w:spacing w:line="276" w:lineRule="auto"/>
        <w:rPr>
          <w:rFonts w:asciiTheme="majorHAnsi" w:hAnsiTheme="majorHAnsi" w:cs="Arial"/>
          <w:bCs/>
        </w:rPr>
      </w:pPr>
    </w:p>
    <w:p w:rsidR="00DC0159" w:rsidRDefault="00DC0159" w:rsidP="00DC0159">
      <w:pPr>
        <w:spacing w:line="276" w:lineRule="auto"/>
        <w:rPr>
          <w:rFonts w:asciiTheme="majorHAnsi" w:hAnsiTheme="majorHAnsi" w:cs="Arial"/>
          <w:bCs/>
        </w:rPr>
      </w:pPr>
      <w:r>
        <w:rPr>
          <w:rFonts w:asciiTheme="majorHAnsi" w:hAnsiTheme="majorHAnsi" w:cs="Arial"/>
          <w:bCs/>
        </w:rPr>
        <w:t xml:space="preserve">The Tribunal views this agreement as </w:t>
      </w:r>
      <w:r w:rsidRPr="00DC0159">
        <w:rPr>
          <w:rFonts w:asciiTheme="majorHAnsi" w:hAnsiTheme="majorHAnsi" w:cs="Arial"/>
          <w:bCs/>
        </w:rPr>
        <w:t>a public service salary decision within the me</w:t>
      </w:r>
      <w:r>
        <w:rPr>
          <w:rFonts w:asciiTheme="majorHAnsi" w:hAnsiTheme="majorHAnsi" w:cs="Arial"/>
          <w:bCs/>
        </w:rPr>
        <w:t>aning of section 31A of the Act. Accordingly, it is our duty</w:t>
      </w:r>
      <w:r w:rsidRPr="00DC0159">
        <w:rPr>
          <w:rFonts w:asciiTheme="majorHAnsi" w:hAnsiTheme="majorHAnsi" w:cs="Arial"/>
          <w:bCs/>
        </w:rPr>
        <w:t xml:space="preserve"> to make necessary salary determinations within 90 days of such decision. </w:t>
      </w:r>
    </w:p>
    <w:p w:rsidR="00DC0159" w:rsidRPr="00DC0159" w:rsidRDefault="00DC0159" w:rsidP="00DC0159">
      <w:pPr>
        <w:spacing w:line="276" w:lineRule="auto"/>
        <w:rPr>
          <w:rFonts w:asciiTheme="majorHAnsi" w:hAnsiTheme="majorHAnsi" w:cs="Arial"/>
          <w:bCs/>
        </w:rPr>
      </w:pPr>
    </w:p>
    <w:p w:rsidR="00971792" w:rsidRPr="00AC17F8" w:rsidRDefault="00DC0159" w:rsidP="00DC0159">
      <w:pPr>
        <w:spacing w:line="276" w:lineRule="auto"/>
        <w:rPr>
          <w:rFonts w:asciiTheme="majorHAnsi" w:hAnsiTheme="majorHAnsi" w:cs="Arial"/>
          <w:bCs/>
        </w:rPr>
      </w:pPr>
      <w:r w:rsidRPr="00AC17F8">
        <w:rPr>
          <w:rFonts w:asciiTheme="majorHAnsi" w:hAnsiTheme="majorHAnsi" w:cs="Arial"/>
          <w:bCs/>
        </w:rPr>
        <w:t xml:space="preserve">In the circumstances, it is our </w:t>
      </w:r>
      <w:r w:rsidR="00165CA1" w:rsidRPr="00AC17F8">
        <w:rPr>
          <w:rFonts w:asciiTheme="majorHAnsi" w:hAnsiTheme="majorHAnsi" w:cs="Arial"/>
          <w:bCs/>
        </w:rPr>
        <w:t xml:space="preserve">considered </w:t>
      </w:r>
      <w:r w:rsidRPr="00AC17F8">
        <w:rPr>
          <w:rFonts w:asciiTheme="majorHAnsi" w:hAnsiTheme="majorHAnsi" w:cs="Arial"/>
          <w:bCs/>
        </w:rPr>
        <w:t xml:space="preserve">view that a single determination should be made in relation to members’ annual base salaries, and the additional salaries payable to office holders to cover the period 1 September 2015, 1 September 2016 and 1 September 2017. </w:t>
      </w:r>
      <w:r w:rsidR="000C0049" w:rsidRPr="00AC17F8">
        <w:rPr>
          <w:rFonts w:asciiTheme="majorHAnsi" w:hAnsiTheme="majorHAnsi" w:cs="Arial"/>
          <w:bCs/>
        </w:rPr>
        <w:t xml:space="preserve"> The Tribunal has e</w:t>
      </w:r>
      <w:r w:rsidR="00165CA1" w:rsidRPr="00AC17F8">
        <w:rPr>
          <w:rFonts w:asciiTheme="majorHAnsi" w:hAnsiTheme="majorHAnsi" w:cs="Arial"/>
          <w:bCs/>
        </w:rPr>
        <w:t>xercised</w:t>
      </w:r>
      <w:r w:rsidR="000C0049" w:rsidRPr="00AC17F8">
        <w:rPr>
          <w:rFonts w:asciiTheme="majorHAnsi" w:hAnsiTheme="majorHAnsi" w:cs="Arial"/>
          <w:bCs/>
        </w:rPr>
        <w:t xml:space="preserve"> its</w:t>
      </w:r>
      <w:r w:rsidR="00165CA1" w:rsidRPr="00AC17F8">
        <w:rPr>
          <w:rFonts w:asciiTheme="majorHAnsi" w:hAnsiTheme="majorHAnsi" w:cs="Arial"/>
          <w:bCs/>
        </w:rPr>
        <w:t xml:space="preserve"> dis</w:t>
      </w:r>
      <w:r w:rsidR="000C0049" w:rsidRPr="00AC17F8">
        <w:rPr>
          <w:rFonts w:asciiTheme="majorHAnsi" w:hAnsiTheme="majorHAnsi" w:cs="Arial"/>
          <w:bCs/>
        </w:rPr>
        <w:t xml:space="preserve">cretion and accordingly Determination 12/2016 will replace Determination 10/2016. </w:t>
      </w:r>
    </w:p>
    <w:p w:rsidR="00165CA1" w:rsidRPr="00AC17F8" w:rsidRDefault="00165CA1" w:rsidP="00DC0159">
      <w:pPr>
        <w:spacing w:line="276" w:lineRule="auto"/>
        <w:rPr>
          <w:rFonts w:asciiTheme="majorHAnsi" w:hAnsiTheme="majorHAnsi" w:cs="Arial"/>
          <w:bCs/>
        </w:rPr>
      </w:pPr>
    </w:p>
    <w:p w:rsidR="000060D7" w:rsidRDefault="00FD0616" w:rsidP="000060D7">
      <w:pPr>
        <w:spacing w:line="276" w:lineRule="auto"/>
        <w:rPr>
          <w:rFonts w:asciiTheme="majorHAnsi" w:hAnsiTheme="majorHAnsi" w:cs="Arial"/>
          <w:bCs/>
          <w:i/>
          <w:color w:val="FF0000"/>
        </w:rPr>
      </w:pPr>
      <w:r w:rsidRPr="00AC17F8">
        <w:rPr>
          <w:rFonts w:asciiTheme="majorHAnsi" w:hAnsiTheme="majorHAnsi" w:cs="Arial"/>
          <w:bCs/>
        </w:rPr>
        <w:t>We have determin</w:t>
      </w:r>
      <w:r w:rsidR="00971792" w:rsidRPr="00AC17F8">
        <w:rPr>
          <w:rFonts w:asciiTheme="majorHAnsi" w:hAnsiTheme="majorHAnsi" w:cs="Arial"/>
          <w:bCs/>
        </w:rPr>
        <w:t>ed</w:t>
      </w:r>
      <w:r w:rsidR="00DC0159" w:rsidRPr="00AC17F8">
        <w:rPr>
          <w:rFonts w:asciiTheme="majorHAnsi" w:hAnsiTheme="majorHAnsi" w:cs="Arial"/>
          <w:bCs/>
        </w:rPr>
        <w:t xml:space="preserve"> that </w:t>
      </w:r>
      <w:r w:rsidRPr="00AC17F8">
        <w:rPr>
          <w:rFonts w:asciiTheme="majorHAnsi" w:hAnsiTheme="majorHAnsi" w:cs="Arial"/>
          <w:bCs/>
        </w:rPr>
        <w:t>the annual base salary for an MP will</w:t>
      </w:r>
      <w:r w:rsidR="00DC0159" w:rsidRPr="00AC17F8">
        <w:rPr>
          <w:rFonts w:asciiTheme="majorHAnsi" w:hAnsiTheme="majorHAnsi" w:cs="Arial"/>
          <w:bCs/>
        </w:rPr>
        <w:t xml:space="preserve"> increase</w:t>
      </w:r>
      <w:r w:rsidRPr="00AC17F8">
        <w:rPr>
          <w:rFonts w:asciiTheme="majorHAnsi" w:hAnsiTheme="majorHAnsi" w:cs="Arial"/>
          <w:bCs/>
        </w:rPr>
        <w:t xml:space="preserve"> </w:t>
      </w:r>
      <w:r w:rsidR="00165CA1" w:rsidRPr="00AC17F8">
        <w:rPr>
          <w:rFonts w:asciiTheme="majorHAnsi" w:hAnsiTheme="majorHAnsi" w:cs="Arial"/>
          <w:bCs/>
        </w:rPr>
        <w:t>at the consistent rate of</w:t>
      </w:r>
      <w:r w:rsidR="00DC0159" w:rsidRPr="00AC17F8">
        <w:rPr>
          <w:rFonts w:asciiTheme="majorHAnsi" w:hAnsiTheme="majorHAnsi" w:cs="Arial"/>
          <w:bCs/>
        </w:rPr>
        <w:t xml:space="preserve"> 2.25% per annum in respect of the above periods</w:t>
      </w:r>
      <w:r w:rsidRPr="00AC17F8">
        <w:rPr>
          <w:rFonts w:asciiTheme="majorHAnsi" w:hAnsiTheme="majorHAnsi" w:cs="Arial"/>
          <w:bCs/>
        </w:rPr>
        <w:t xml:space="preserve">. </w:t>
      </w:r>
      <w:r w:rsidR="000C0049" w:rsidRPr="00AC17F8">
        <w:rPr>
          <w:rFonts w:asciiTheme="majorHAnsi" w:hAnsiTheme="majorHAnsi" w:cs="Arial"/>
          <w:bCs/>
        </w:rPr>
        <w:t>We note</w:t>
      </w:r>
      <w:r w:rsidR="00AC17F8" w:rsidRPr="00AC17F8">
        <w:rPr>
          <w:rFonts w:asciiTheme="majorHAnsi" w:hAnsiTheme="majorHAnsi" w:cs="Arial"/>
          <w:bCs/>
        </w:rPr>
        <w:t>,</w:t>
      </w:r>
      <w:r w:rsidR="000C0049" w:rsidRPr="00AC17F8">
        <w:rPr>
          <w:rFonts w:asciiTheme="majorHAnsi" w:hAnsiTheme="majorHAnsi" w:cs="Arial"/>
          <w:bCs/>
        </w:rPr>
        <w:t xml:space="preserve"> in respect of the year from 1 September 2015</w:t>
      </w:r>
      <w:r w:rsidR="00AC17F8" w:rsidRPr="00AC17F8">
        <w:rPr>
          <w:rFonts w:asciiTheme="majorHAnsi" w:hAnsiTheme="majorHAnsi" w:cs="Arial"/>
          <w:bCs/>
        </w:rPr>
        <w:t>,</w:t>
      </w:r>
      <w:r w:rsidR="000C0049" w:rsidRPr="00AC17F8">
        <w:rPr>
          <w:rFonts w:asciiTheme="majorHAnsi" w:hAnsiTheme="majorHAnsi" w:cs="Arial"/>
          <w:bCs/>
        </w:rPr>
        <w:t xml:space="preserve"> that t</w:t>
      </w:r>
      <w:r w:rsidR="00770F88" w:rsidRPr="00AC17F8">
        <w:rPr>
          <w:rFonts w:asciiTheme="majorHAnsi" w:hAnsiTheme="majorHAnsi" w:cs="Arial"/>
          <w:bCs/>
        </w:rPr>
        <w:t>he increase of 1.73% paid and provided for under Determination 10/2016 will need to be offset against the increase of 2.25% for th</w:t>
      </w:r>
      <w:r w:rsidR="000C0049" w:rsidRPr="00AC17F8">
        <w:rPr>
          <w:rFonts w:asciiTheme="majorHAnsi" w:hAnsiTheme="majorHAnsi" w:cs="Arial"/>
          <w:bCs/>
        </w:rPr>
        <w:t>at</w:t>
      </w:r>
      <w:r w:rsidR="00770F88" w:rsidRPr="00AC17F8">
        <w:rPr>
          <w:rFonts w:asciiTheme="majorHAnsi" w:hAnsiTheme="majorHAnsi" w:cs="Arial"/>
          <w:bCs/>
        </w:rPr>
        <w:t xml:space="preserve"> </w:t>
      </w:r>
      <w:r w:rsidR="00770F88" w:rsidRPr="0047094D">
        <w:rPr>
          <w:rFonts w:asciiTheme="majorHAnsi" w:hAnsiTheme="majorHAnsi" w:cs="Arial"/>
          <w:bCs/>
        </w:rPr>
        <w:t>year</w:t>
      </w:r>
      <w:r w:rsidR="000C0049" w:rsidRPr="0047094D">
        <w:rPr>
          <w:rFonts w:asciiTheme="majorHAnsi" w:hAnsiTheme="majorHAnsi" w:cs="Arial"/>
          <w:bCs/>
        </w:rPr>
        <w:t>.</w:t>
      </w:r>
      <w:r w:rsidR="009F78FA" w:rsidRPr="0047094D">
        <w:rPr>
          <w:rFonts w:asciiTheme="majorHAnsi" w:hAnsiTheme="majorHAnsi" w:cs="Arial"/>
          <w:bCs/>
        </w:rPr>
        <w:t xml:space="preserve"> </w:t>
      </w:r>
      <w:r w:rsidR="000F23C6" w:rsidRPr="0047094D">
        <w:rPr>
          <w:rFonts w:asciiTheme="majorHAnsi" w:hAnsiTheme="majorHAnsi" w:cs="Arial"/>
          <w:bCs/>
        </w:rPr>
        <w:t xml:space="preserve">The offsetting of the increase for the year </w:t>
      </w:r>
      <w:r w:rsidR="00CA42B0" w:rsidRPr="0047094D">
        <w:rPr>
          <w:rFonts w:asciiTheme="majorHAnsi" w:hAnsiTheme="majorHAnsi" w:cs="Arial"/>
          <w:bCs/>
        </w:rPr>
        <w:t xml:space="preserve">from </w:t>
      </w:r>
      <w:r w:rsidR="000F23C6" w:rsidRPr="0047094D">
        <w:rPr>
          <w:rFonts w:asciiTheme="majorHAnsi" w:hAnsiTheme="majorHAnsi" w:cs="Arial"/>
          <w:bCs/>
        </w:rPr>
        <w:t>1 September 2015 will likely be paid in the year</w:t>
      </w:r>
      <w:r w:rsidR="00CA42B0" w:rsidRPr="0047094D">
        <w:rPr>
          <w:rFonts w:asciiTheme="majorHAnsi" w:hAnsiTheme="majorHAnsi" w:cs="Arial"/>
          <w:bCs/>
        </w:rPr>
        <w:t xml:space="preserve"> from </w:t>
      </w:r>
      <w:r w:rsidR="000F23C6" w:rsidRPr="0047094D">
        <w:rPr>
          <w:rFonts w:asciiTheme="majorHAnsi" w:hAnsiTheme="majorHAnsi" w:cs="Arial"/>
          <w:bCs/>
        </w:rPr>
        <w:t>1 September 2016</w:t>
      </w:r>
      <w:r w:rsidR="00CA42B0" w:rsidRPr="0047094D">
        <w:rPr>
          <w:rFonts w:asciiTheme="majorHAnsi" w:hAnsiTheme="majorHAnsi" w:cs="Arial"/>
          <w:bCs/>
        </w:rPr>
        <w:t xml:space="preserve">, </w:t>
      </w:r>
      <w:r w:rsidR="000F23C6" w:rsidRPr="0047094D">
        <w:rPr>
          <w:rFonts w:asciiTheme="majorHAnsi" w:hAnsiTheme="majorHAnsi" w:cs="Arial"/>
          <w:bCs/>
        </w:rPr>
        <w:t>as such t</w:t>
      </w:r>
      <w:r w:rsidR="000060D7" w:rsidRPr="0047094D">
        <w:rPr>
          <w:rFonts w:asciiTheme="majorHAnsi" w:hAnsiTheme="majorHAnsi" w:cs="Arial"/>
          <w:bCs/>
        </w:rPr>
        <w:t xml:space="preserve">he effective increase </w:t>
      </w:r>
      <w:r w:rsidR="00F57D9B" w:rsidRPr="0047094D">
        <w:rPr>
          <w:rFonts w:asciiTheme="majorHAnsi" w:hAnsiTheme="majorHAnsi" w:cs="Arial"/>
          <w:bCs/>
        </w:rPr>
        <w:t xml:space="preserve">for 2016 </w:t>
      </w:r>
      <w:r w:rsidR="000060D7" w:rsidRPr="0047094D">
        <w:rPr>
          <w:rFonts w:asciiTheme="majorHAnsi" w:hAnsiTheme="majorHAnsi" w:cs="Arial"/>
          <w:bCs/>
        </w:rPr>
        <w:t xml:space="preserve">will appear to be 2.77% however, it must be considered that the 0.52% relates to the offsetting of the </w:t>
      </w:r>
      <w:r w:rsidR="00F57D9B" w:rsidRPr="0047094D">
        <w:rPr>
          <w:rFonts w:asciiTheme="majorHAnsi" w:hAnsiTheme="majorHAnsi" w:cs="Arial"/>
          <w:bCs/>
        </w:rPr>
        <w:t xml:space="preserve">previous </w:t>
      </w:r>
      <w:r w:rsidR="000060D7" w:rsidRPr="0047094D">
        <w:rPr>
          <w:rFonts w:asciiTheme="majorHAnsi" w:hAnsiTheme="majorHAnsi" w:cs="Arial"/>
          <w:bCs/>
        </w:rPr>
        <w:t>year from 1 September 2015</w:t>
      </w:r>
      <w:r w:rsidR="000060D7" w:rsidRPr="00822446">
        <w:rPr>
          <w:rFonts w:asciiTheme="majorHAnsi" w:hAnsiTheme="majorHAnsi" w:cs="Arial"/>
          <w:bCs/>
        </w:rPr>
        <w:t>. Therefore the current year base salary increase will not exceed 2.25% and is within the 2.5% limit set under section 31A (3) of the Act</w:t>
      </w:r>
      <w:r w:rsidR="00822446">
        <w:rPr>
          <w:rFonts w:asciiTheme="majorHAnsi" w:hAnsiTheme="majorHAnsi" w:cs="Arial"/>
          <w:bCs/>
          <w:i/>
        </w:rPr>
        <w:t>.</w:t>
      </w:r>
      <w:r w:rsidR="000060D7" w:rsidRPr="00822446">
        <w:rPr>
          <w:rFonts w:asciiTheme="majorHAnsi" w:hAnsiTheme="majorHAnsi" w:cs="Arial"/>
          <w:bCs/>
          <w:i/>
        </w:rPr>
        <w:t xml:space="preserve"> </w:t>
      </w:r>
      <w:r w:rsidR="000060D7" w:rsidRPr="00F57D9B">
        <w:rPr>
          <w:rFonts w:asciiTheme="majorHAnsi" w:hAnsiTheme="majorHAnsi" w:cs="Arial"/>
          <w:bCs/>
        </w:rPr>
        <w:t>It is the Tribunal’s intent that salaries received pursuant to Determination 10/2016 be offset against salary increase entitlements pursuant to the present determination for the year from 1 September 2015 and will not exceed 2.25% per annum.</w:t>
      </w:r>
    </w:p>
    <w:p w:rsidR="00AC17F8" w:rsidRDefault="00AC17F8" w:rsidP="00770F88">
      <w:pPr>
        <w:spacing w:line="276" w:lineRule="auto"/>
        <w:rPr>
          <w:rFonts w:asciiTheme="majorHAnsi" w:hAnsiTheme="majorHAnsi" w:cs="Arial"/>
          <w:bCs/>
        </w:rPr>
      </w:pPr>
    </w:p>
    <w:p w:rsidR="00AC17F8" w:rsidRDefault="00AC17F8" w:rsidP="00770F88">
      <w:pPr>
        <w:spacing w:line="276" w:lineRule="auto"/>
        <w:rPr>
          <w:rFonts w:asciiTheme="majorHAnsi" w:hAnsiTheme="majorHAnsi" w:cs="Arial"/>
          <w:bCs/>
        </w:rPr>
      </w:pPr>
    </w:p>
    <w:p w:rsidR="00FD0616" w:rsidRDefault="00AB3533" w:rsidP="00FD0616">
      <w:pPr>
        <w:pStyle w:val="Heading2"/>
      </w:pPr>
      <w:r>
        <w:lastRenderedPageBreak/>
        <w:t>Tribunal Duties in Making Determinations</w:t>
      </w:r>
    </w:p>
    <w:p w:rsidR="00FD0616" w:rsidRDefault="00FD0616" w:rsidP="00DC0159">
      <w:pPr>
        <w:spacing w:line="276" w:lineRule="auto"/>
        <w:rPr>
          <w:rFonts w:asciiTheme="majorHAnsi" w:hAnsiTheme="majorHAnsi" w:cs="Arial"/>
          <w:bCs/>
        </w:rPr>
      </w:pPr>
    </w:p>
    <w:p w:rsidR="00AB3533" w:rsidRDefault="00FD0616" w:rsidP="00FD0616">
      <w:pPr>
        <w:spacing w:line="276" w:lineRule="auto"/>
        <w:rPr>
          <w:rFonts w:asciiTheme="majorHAnsi" w:hAnsiTheme="majorHAnsi" w:cs="Arial"/>
          <w:bCs/>
        </w:rPr>
      </w:pPr>
      <w:r>
        <w:rPr>
          <w:rFonts w:asciiTheme="majorHAnsi" w:hAnsiTheme="majorHAnsi" w:cs="Arial"/>
          <w:bCs/>
        </w:rPr>
        <w:t>S</w:t>
      </w:r>
      <w:r w:rsidRPr="00FD0616">
        <w:rPr>
          <w:rFonts w:asciiTheme="majorHAnsi" w:hAnsiTheme="majorHAnsi" w:cs="Arial"/>
          <w:bCs/>
        </w:rPr>
        <w:t xml:space="preserve">ection 29 of the Act </w:t>
      </w:r>
      <w:r w:rsidR="00AB3533">
        <w:rPr>
          <w:rFonts w:asciiTheme="majorHAnsi" w:hAnsiTheme="majorHAnsi" w:cs="Arial"/>
          <w:bCs/>
        </w:rPr>
        <w:t>provides general principles that the Tribunal may have regard to in making a determination. These include:</w:t>
      </w:r>
    </w:p>
    <w:p w:rsidR="00AB3533" w:rsidRDefault="00FD0616" w:rsidP="00AB3533">
      <w:pPr>
        <w:pStyle w:val="ListParagraph"/>
        <w:numPr>
          <w:ilvl w:val="0"/>
          <w:numId w:val="1"/>
        </w:numPr>
        <w:spacing w:line="276" w:lineRule="auto"/>
        <w:rPr>
          <w:rFonts w:asciiTheme="majorHAnsi" w:hAnsiTheme="majorHAnsi" w:cs="Arial"/>
          <w:bCs/>
        </w:rPr>
      </w:pPr>
      <w:r w:rsidRPr="00AB3533">
        <w:rPr>
          <w:rFonts w:asciiTheme="majorHAnsi" w:hAnsiTheme="majorHAnsi" w:cs="Arial"/>
          <w:bCs/>
        </w:rPr>
        <w:t>the value to the community of a member of the Assembly carrying out the member’s role, functions and responsibilities</w:t>
      </w:r>
      <w:r w:rsidR="00AB3533">
        <w:rPr>
          <w:rFonts w:asciiTheme="majorHAnsi" w:hAnsiTheme="majorHAnsi" w:cs="Arial"/>
          <w:bCs/>
        </w:rPr>
        <w:t xml:space="preserve"> (s 29(1a))</w:t>
      </w:r>
      <w:r w:rsidRPr="00AB3533">
        <w:rPr>
          <w:rFonts w:asciiTheme="majorHAnsi" w:hAnsiTheme="majorHAnsi" w:cs="Arial"/>
          <w:bCs/>
        </w:rPr>
        <w:t xml:space="preserve">; </w:t>
      </w:r>
    </w:p>
    <w:p w:rsidR="00AB3533" w:rsidRDefault="00FD0616" w:rsidP="00AB3533">
      <w:pPr>
        <w:pStyle w:val="ListParagraph"/>
        <w:numPr>
          <w:ilvl w:val="0"/>
          <w:numId w:val="1"/>
        </w:numPr>
        <w:spacing w:line="276" w:lineRule="auto"/>
        <w:rPr>
          <w:rFonts w:asciiTheme="majorHAnsi" w:hAnsiTheme="majorHAnsi" w:cs="Arial"/>
          <w:bCs/>
        </w:rPr>
      </w:pPr>
      <w:r w:rsidRPr="00AB3533">
        <w:rPr>
          <w:rFonts w:asciiTheme="majorHAnsi" w:hAnsiTheme="majorHAnsi" w:cs="Arial"/>
          <w:bCs/>
        </w:rPr>
        <w:t>the importance of a member being appropriately remunerated for carrying out the member</w:t>
      </w:r>
      <w:r w:rsidR="00390301">
        <w:rPr>
          <w:rFonts w:asciiTheme="majorHAnsi" w:hAnsiTheme="majorHAnsi" w:cs="Arial"/>
          <w:bCs/>
        </w:rPr>
        <w:t>’</w:t>
      </w:r>
      <w:r w:rsidRPr="00AB3533">
        <w:rPr>
          <w:rFonts w:asciiTheme="majorHAnsi" w:hAnsiTheme="majorHAnsi" w:cs="Arial"/>
          <w:bCs/>
        </w:rPr>
        <w:t>s role, functions and responsibilities</w:t>
      </w:r>
      <w:r w:rsidR="00AB3533">
        <w:rPr>
          <w:rFonts w:asciiTheme="majorHAnsi" w:hAnsiTheme="majorHAnsi" w:cs="Arial"/>
          <w:bCs/>
        </w:rPr>
        <w:t xml:space="preserve"> (s 29(1b)</w:t>
      </w:r>
      <w:r w:rsidRPr="00AB3533">
        <w:rPr>
          <w:rFonts w:asciiTheme="majorHAnsi" w:hAnsiTheme="majorHAnsi" w:cs="Arial"/>
          <w:bCs/>
        </w:rPr>
        <w:t xml:space="preserve">; </w:t>
      </w:r>
    </w:p>
    <w:p w:rsidR="00AB3533" w:rsidRDefault="00FD0616" w:rsidP="00AB3533">
      <w:pPr>
        <w:pStyle w:val="ListParagraph"/>
        <w:numPr>
          <w:ilvl w:val="0"/>
          <w:numId w:val="1"/>
        </w:numPr>
        <w:spacing w:line="276" w:lineRule="auto"/>
        <w:rPr>
          <w:rFonts w:asciiTheme="majorHAnsi" w:hAnsiTheme="majorHAnsi" w:cs="Arial"/>
          <w:bCs/>
        </w:rPr>
      </w:pPr>
      <w:r w:rsidRPr="00AB3533">
        <w:rPr>
          <w:rFonts w:asciiTheme="majorHAnsi" w:hAnsiTheme="majorHAnsi" w:cs="Arial"/>
          <w:bCs/>
        </w:rPr>
        <w:t>rel</w:t>
      </w:r>
      <w:r w:rsidR="00AB3533">
        <w:rPr>
          <w:rFonts w:asciiTheme="majorHAnsi" w:hAnsiTheme="majorHAnsi" w:cs="Arial"/>
          <w:bCs/>
        </w:rPr>
        <w:t>evant laws applying to members (s 29(1c)</w:t>
      </w:r>
      <w:r w:rsidRPr="00AB3533">
        <w:rPr>
          <w:rFonts w:asciiTheme="majorHAnsi" w:hAnsiTheme="majorHAnsi" w:cs="Arial"/>
          <w:bCs/>
        </w:rPr>
        <w:t>)</w:t>
      </w:r>
      <w:r w:rsidR="00AB3533">
        <w:rPr>
          <w:rFonts w:asciiTheme="majorHAnsi" w:hAnsiTheme="majorHAnsi" w:cs="Arial"/>
          <w:bCs/>
        </w:rPr>
        <w:t xml:space="preserve"> – of which we can identify none</w:t>
      </w:r>
      <w:r w:rsidRPr="00AB3533">
        <w:rPr>
          <w:rFonts w:asciiTheme="majorHAnsi" w:hAnsiTheme="majorHAnsi" w:cs="Arial"/>
          <w:bCs/>
        </w:rPr>
        <w:t xml:space="preserve">; and </w:t>
      </w:r>
    </w:p>
    <w:p w:rsidR="00AB3533" w:rsidRDefault="00FD0616" w:rsidP="00AB3533">
      <w:pPr>
        <w:pStyle w:val="ListParagraph"/>
        <w:numPr>
          <w:ilvl w:val="0"/>
          <w:numId w:val="1"/>
        </w:numPr>
        <w:spacing w:line="276" w:lineRule="auto"/>
        <w:rPr>
          <w:rFonts w:asciiTheme="majorHAnsi" w:hAnsiTheme="majorHAnsi" w:cs="Arial"/>
          <w:bCs/>
        </w:rPr>
      </w:pPr>
      <w:proofErr w:type="gramStart"/>
      <w:r w:rsidRPr="00AB3533">
        <w:rPr>
          <w:rFonts w:asciiTheme="majorHAnsi" w:hAnsiTheme="majorHAnsi" w:cs="Arial"/>
          <w:bCs/>
        </w:rPr>
        <w:t>other</w:t>
      </w:r>
      <w:proofErr w:type="gramEnd"/>
      <w:r w:rsidRPr="00AB3533">
        <w:rPr>
          <w:rFonts w:asciiTheme="majorHAnsi" w:hAnsiTheme="majorHAnsi" w:cs="Arial"/>
          <w:bCs/>
        </w:rPr>
        <w:t xml:space="preserve"> matters we consider appropriate</w:t>
      </w:r>
      <w:r w:rsidR="00AB3533">
        <w:rPr>
          <w:rFonts w:asciiTheme="majorHAnsi" w:hAnsiTheme="majorHAnsi" w:cs="Arial"/>
          <w:bCs/>
        </w:rPr>
        <w:t xml:space="preserve"> (s 29(1d))</w:t>
      </w:r>
      <w:r w:rsidRPr="00AB3533">
        <w:rPr>
          <w:rFonts w:asciiTheme="majorHAnsi" w:hAnsiTheme="majorHAnsi" w:cs="Arial"/>
          <w:bCs/>
        </w:rPr>
        <w:t xml:space="preserve">. </w:t>
      </w:r>
    </w:p>
    <w:p w:rsidR="00AB3533" w:rsidRDefault="00AB3533" w:rsidP="00AB3533">
      <w:pPr>
        <w:spacing w:line="276" w:lineRule="auto"/>
        <w:rPr>
          <w:rFonts w:asciiTheme="majorHAnsi" w:hAnsiTheme="majorHAnsi" w:cs="Arial"/>
          <w:bCs/>
        </w:rPr>
      </w:pPr>
    </w:p>
    <w:p w:rsidR="00FD0616" w:rsidRPr="00AB3533" w:rsidRDefault="00AB3533" w:rsidP="00AB3533">
      <w:pPr>
        <w:spacing w:line="276" w:lineRule="auto"/>
        <w:rPr>
          <w:rFonts w:asciiTheme="majorHAnsi" w:hAnsiTheme="majorHAnsi" w:cs="Arial"/>
          <w:bCs/>
        </w:rPr>
      </w:pPr>
      <w:r>
        <w:rPr>
          <w:rFonts w:asciiTheme="majorHAnsi" w:hAnsiTheme="majorHAnsi" w:cs="Arial"/>
          <w:bCs/>
        </w:rPr>
        <w:t>P</w:t>
      </w:r>
      <w:r w:rsidR="00FD0616" w:rsidRPr="00AB3533">
        <w:rPr>
          <w:rFonts w:asciiTheme="majorHAnsi" w:hAnsiTheme="majorHAnsi" w:cs="Arial"/>
          <w:bCs/>
        </w:rPr>
        <w:t xml:space="preserve">ursuant to section 30(a) of the Act, </w:t>
      </w:r>
      <w:r>
        <w:rPr>
          <w:rFonts w:asciiTheme="majorHAnsi" w:hAnsiTheme="majorHAnsi" w:cs="Arial"/>
          <w:bCs/>
        </w:rPr>
        <w:t xml:space="preserve">the Tribunal must </w:t>
      </w:r>
      <w:r w:rsidR="00FD0616" w:rsidRPr="00AB3533">
        <w:rPr>
          <w:rFonts w:asciiTheme="majorHAnsi" w:hAnsiTheme="majorHAnsi" w:cs="Arial"/>
          <w:bCs/>
        </w:rPr>
        <w:t>consult with</w:t>
      </w:r>
      <w:r>
        <w:rPr>
          <w:rFonts w:asciiTheme="majorHAnsi" w:hAnsiTheme="majorHAnsi" w:cs="Arial"/>
          <w:bCs/>
        </w:rPr>
        <w:t>, and consider the views of,</w:t>
      </w:r>
      <w:r w:rsidR="00FD0616" w:rsidRPr="00AB3533">
        <w:rPr>
          <w:rFonts w:asciiTheme="majorHAnsi" w:hAnsiTheme="majorHAnsi" w:cs="Arial"/>
          <w:bCs/>
        </w:rPr>
        <w:t xml:space="preserve"> the Clerk of the Parliament. </w:t>
      </w:r>
    </w:p>
    <w:p w:rsidR="00FD0616" w:rsidRDefault="00FD0616" w:rsidP="00DC0159">
      <w:pPr>
        <w:spacing w:line="276" w:lineRule="auto"/>
        <w:rPr>
          <w:rFonts w:asciiTheme="majorHAnsi" w:hAnsiTheme="majorHAnsi" w:cs="Arial"/>
          <w:bCs/>
        </w:rPr>
      </w:pPr>
    </w:p>
    <w:p w:rsidR="00B002DF" w:rsidRPr="00B002DF" w:rsidRDefault="00B002DF" w:rsidP="00B002DF">
      <w:pPr>
        <w:rPr>
          <w:rFonts w:asciiTheme="majorHAnsi" w:hAnsiTheme="majorHAnsi" w:cs="Arial"/>
          <w:bCs/>
        </w:rPr>
      </w:pPr>
      <w:r w:rsidRPr="00B002DF">
        <w:rPr>
          <w:rFonts w:asciiTheme="majorHAnsi" w:hAnsiTheme="majorHAnsi" w:cs="Arial"/>
          <w:bCs/>
        </w:rPr>
        <w:t xml:space="preserve">In </w:t>
      </w:r>
      <w:r>
        <w:rPr>
          <w:rFonts w:asciiTheme="majorHAnsi" w:hAnsiTheme="majorHAnsi" w:cs="Arial"/>
          <w:bCs/>
        </w:rPr>
        <w:t xml:space="preserve">discharging our responsibilities, we have </w:t>
      </w:r>
      <w:r w:rsidRPr="00B002DF">
        <w:rPr>
          <w:rFonts w:asciiTheme="majorHAnsi" w:hAnsiTheme="majorHAnsi" w:cs="Arial"/>
          <w:bCs/>
        </w:rPr>
        <w:t>follow</w:t>
      </w:r>
      <w:r w:rsidR="00770F88">
        <w:rPr>
          <w:rFonts w:asciiTheme="majorHAnsi" w:hAnsiTheme="majorHAnsi" w:cs="Arial"/>
          <w:bCs/>
        </w:rPr>
        <w:t>ed</w:t>
      </w:r>
      <w:r w:rsidRPr="00B002DF">
        <w:rPr>
          <w:rFonts w:asciiTheme="majorHAnsi" w:hAnsiTheme="majorHAnsi" w:cs="Arial"/>
          <w:bCs/>
        </w:rPr>
        <w:t xml:space="preserve"> the procedures provided for in section 28 of the Act</w:t>
      </w:r>
      <w:r>
        <w:rPr>
          <w:rFonts w:asciiTheme="majorHAnsi" w:hAnsiTheme="majorHAnsi" w:cs="Arial"/>
          <w:bCs/>
        </w:rPr>
        <w:t xml:space="preserve">. The Tribunal has </w:t>
      </w:r>
      <w:r w:rsidRPr="00B002DF">
        <w:rPr>
          <w:rFonts w:asciiTheme="majorHAnsi" w:hAnsiTheme="majorHAnsi" w:cs="Arial"/>
          <w:bCs/>
        </w:rPr>
        <w:t xml:space="preserve">consulted with the Clerk </w:t>
      </w:r>
      <w:r>
        <w:rPr>
          <w:rFonts w:asciiTheme="majorHAnsi" w:hAnsiTheme="majorHAnsi" w:cs="Arial"/>
          <w:bCs/>
        </w:rPr>
        <w:t xml:space="preserve">of the Parliament </w:t>
      </w:r>
      <w:r w:rsidRPr="00B002DF">
        <w:rPr>
          <w:rFonts w:asciiTheme="majorHAnsi" w:hAnsiTheme="majorHAnsi" w:cs="Arial"/>
          <w:bCs/>
        </w:rPr>
        <w:t>and ha</w:t>
      </w:r>
      <w:r w:rsidR="000C0049">
        <w:rPr>
          <w:rFonts w:asciiTheme="majorHAnsi" w:hAnsiTheme="majorHAnsi" w:cs="Arial"/>
          <w:bCs/>
        </w:rPr>
        <w:t>s</w:t>
      </w:r>
      <w:r w:rsidRPr="00B002DF">
        <w:rPr>
          <w:rFonts w:asciiTheme="majorHAnsi" w:hAnsiTheme="majorHAnsi" w:cs="Arial"/>
          <w:bCs/>
        </w:rPr>
        <w:t xml:space="preserve"> had regard to:</w:t>
      </w:r>
    </w:p>
    <w:p w:rsidR="00B002DF" w:rsidRPr="00B002DF" w:rsidRDefault="00B002DF" w:rsidP="00B002DF">
      <w:pPr>
        <w:pStyle w:val="ListParagraph"/>
        <w:numPr>
          <w:ilvl w:val="0"/>
          <w:numId w:val="3"/>
        </w:numPr>
        <w:spacing w:after="200" w:line="276" w:lineRule="auto"/>
        <w:rPr>
          <w:rFonts w:asciiTheme="majorHAnsi" w:hAnsiTheme="majorHAnsi" w:cs="Arial"/>
          <w:bCs/>
        </w:rPr>
      </w:pPr>
      <w:r w:rsidRPr="00B002DF">
        <w:rPr>
          <w:rFonts w:asciiTheme="majorHAnsi" w:hAnsiTheme="majorHAnsi" w:cs="Arial"/>
          <w:bCs/>
        </w:rPr>
        <w:t>The Queensland Parliamentary Procedures Handbook;</w:t>
      </w:r>
    </w:p>
    <w:p w:rsidR="00B002DF" w:rsidRPr="00B002DF" w:rsidRDefault="00B002DF" w:rsidP="00B002DF">
      <w:pPr>
        <w:pStyle w:val="ListParagraph"/>
        <w:numPr>
          <w:ilvl w:val="0"/>
          <w:numId w:val="3"/>
        </w:numPr>
        <w:spacing w:after="200" w:line="276" w:lineRule="auto"/>
        <w:rPr>
          <w:rFonts w:asciiTheme="majorHAnsi" w:hAnsiTheme="majorHAnsi" w:cs="Arial"/>
          <w:bCs/>
        </w:rPr>
      </w:pPr>
      <w:r w:rsidRPr="00B002DF">
        <w:rPr>
          <w:rFonts w:asciiTheme="majorHAnsi" w:hAnsiTheme="majorHAnsi" w:cs="Arial"/>
          <w:bCs/>
        </w:rPr>
        <w:t>The views of the members of the community as obtained previously;</w:t>
      </w:r>
    </w:p>
    <w:p w:rsidR="000C4818" w:rsidRDefault="000C4818" w:rsidP="00B002DF">
      <w:pPr>
        <w:pStyle w:val="ListParagraph"/>
        <w:numPr>
          <w:ilvl w:val="0"/>
          <w:numId w:val="3"/>
        </w:numPr>
        <w:spacing w:after="200" w:line="276" w:lineRule="auto"/>
        <w:rPr>
          <w:rFonts w:asciiTheme="majorHAnsi" w:hAnsiTheme="majorHAnsi" w:cs="Arial"/>
          <w:bCs/>
        </w:rPr>
      </w:pPr>
      <w:r>
        <w:rPr>
          <w:rFonts w:asciiTheme="majorHAnsi" w:hAnsiTheme="majorHAnsi" w:cs="Arial"/>
          <w:bCs/>
        </w:rPr>
        <w:t>Economic criteria including:</w:t>
      </w:r>
    </w:p>
    <w:p w:rsidR="00B002DF" w:rsidRDefault="00B002DF" w:rsidP="000C4818">
      <w:pPr>
        <w:pStyle w:val="ListParagraph"/>
        <w:numPr>
          <w:ilvl w:val="1"/>
          <w:numId w:val="3"/>
        </w:numPr>
        <w:spacing w:after="200" w:line="276" w:lineRule="auto"/>
        <w:rPr>
          <w:rFonts w:asciiTheme="majorHAnsi" w:hAnsiTheme="majorHAnsi" w:cs="Arial"/>
          <w:bCs/>
        </w:rPr>
      </w:pPr>
      <w:r>
        <w:rPr>
          <w:rFonts w:asciiTheme="majorHAnsi" w:hAnsiTheme="majorHAnsi" w:cs="Arial"/>
          <w:bCs/>
        </w:rPr>
        <w:t>Analysis of base salary in comparable jurisdictions</w:t>
      </w:r>
      <w:r w:rsidR="002132BA">
        <w:rPr>
          <w:rFonts w:asciiTheme="majorHAnsi" w:hAnsiTheme="majorHAnsi" w:cs="Arial"/>
          <w:bCs/>
        </w:rPr>
        <w:t>;</w:t>
      </w:r>
      <w:r w:rsidR="00BE2E7E" w:rsidRPr="00BE2E7E">
        <w:rPr>
          <w:rStyle w:val="FootnoteReference"/>
          <w:rFonts w:asciiTheme="majorHAnsi" w:hAnsiTheme="majorHAnsi" w:cs="Arial"/>
          <w:bCs/>
        </w:rPr>
        <w:t xml:space="preserve"> </w:t>
      </w:r>
      <w:r w:rsidR="00BE2E7E">
        <w:rPr>
          <w:rStyle w:val="FootnoteReference"/>
          <w:rFonts w:asciiTheme="majorHAnsi" w:hAnsiTheme="majorHAnsi" w:cs="Arial"/>
          <w:bCs/>
        </w:rPr>
        <w:footnoteReference w:id="2"/>
      </w:r>
      <w:r w:rsidR="00BE2E7E">
        <w:rPr>
          <w:rFonts w:asciiTheme="majorHAnsi" w:hAnsiTheme="majorHAnsi" w:cs="Arial"/>
          <w:bCs/>
        </w:rPr>
        <w:t xml:space="preserve"> </w:t>
      </w:r>
      <w:r w:rsidR="00BE2E7E">
        <w:rPr>
          <w:rStyle w:val="FootnoteReference"/>
          <w:rFonts w:asciiTheme="majorHAnsi" w:hAnsiTheme="majorHAnsi" w:cs="Arial"/>
          <w:bCs/>
        </w:rPr>
        <w:footnoteReference w:id="3"/>
      </w:r>
    </w:p>
    <w:p w:rsidR="000C4818" w:rsidRPr="000C4818" w:rsidRDefault="000C4818" w:rsidP="000C4818">
      <w:pPr>
        <w:pStyle w:val="ListParagraph"/>
        <w:numPr>
          <w:ilvl w:val="1"/>
          <w:numId w:val="3"/>
        </w:numPr>
        <w:spacing w:after="200" w:line="276" w:lineRule="auto"/>
        <w:rPr>
          <w:rFonts w:asciiTheme="majorHAnsi" w:hAnsiTheme="majorHAnsi" w:cs="Arial"/>
          <w:bCs/>
        </w:rPr>
      </w:pPr>
      <w:r>
        <w:rPr>
          <w:rFonts w:asciiTheme="majorHAnsi" w:hAnsiTheme="majorHAnsi" w:cs="Arial"/>
          <w:bCs/>
        </w:rPr>
        <w:t>Other salary indices including: average weekly earnings in the public and private sectors, including specifically in the Queensland core public service and the Senior Executive Service (SES);</w:t>
      </w:r>
      <w:r w:rsidR="00BE2E7E" w:rsidRPr="00BE2E7E">
        <w:rPr>
          <w:rStyle w:val="FootnoteReference"/>
          <w:rFonts w:asciiTheme="majorHAnsi" w:hAnsiTheme="majorHAnsi" w:cs="Arial"/>
          <w:bCs/>
        </w:rPr>
        <w:t xml:space="preserve"> </w:t>
      </w:r>
      <w:r w:rsidR="00BE2E7E">
        <w:rPr>
          <w:rStyle w:val="FootnoteReference"/>
          <w:rFonts w:asciiTheme="majorHAnsi" w:hAnsiTheme="majorHAnsi" w:cs="Arial"/>
          <w:bCs/>
        </w:rPr>
        <w:footnoteReference w:id="4"/>
      </w:r>
      <w:r>
        <w:rPr>
          <w:rFonts w:asciiTheme="majorHAnsi" w:hAnsiTheme="majorHAnsi" w:cs="Arial"/>
          <w:bCs/>
        </w:rPr>
        <w:t xml:space="preserve"> </w:t>
      </w:r>
    </w:p>
    <w:p w:rsidR="00C00E1D" w:rsidRDefault="000C4818" w:rsidP="000C4818">
      <w:pPr>
        <w:pStyle w:val="ListParagraph"/>
        <w:numPr>
          <w:ilvl w:val="1"/>
          <w:numId w:val="3"/>
        </w:numPr>
        <w:spacing w:after="200" w:line="276" w:lineRule="auto"/>
        <w:rPr>
          <w:rFonts w:asciiTheme="majorHAnsi" w:hAnsiTheme="majorHAnsi" w:cs="Arial"/>
          <w:bCs/>
        </w:rPr>
      </w:pPr>
      <w:r>
        <w:rPr>
          <w:rFonts w:asciiTheme="majorHAnsi" w:hAnsiTheme="majorHAnsi" w:cs="Arial"/>
          <w:bCs/>
        </w:rPr>
        <w:t>The Consumer Price Index (CPI)</w:t>
      </w:r>
      <w:r w:rsidR="00C00E1D">
        <w:rPr>
          <w:rFonts w:asciiTheme="majorHAnsi" w:hAnsiTheme="majorHAnsi" w:cs="Arial"/>
          <w:bCs/>
        </w:rPr>
        <w:t>, including projections outlined in the 2016-17 Queensland State Budget;</w:t>
      </w:r>
      <w:r w:rsidR="00BE2E7E" w:rsidRPr="00BE2E7E">
        <w:rPr>
          <w:rStyle w:val="FootnoteReference"/>
          <w:rFonts w:asciiTheme="majorHAnsi" w:hAnsiTheme="majorHAnsi" w:cs="Arial"/>
          <w:bCs/>
        </w:rPr>
        <w:t xml:space="preserve"> </w:t>
      </w:r>
      <w:r w:rsidR="00BE2E7E">
        <w:rPr>
          <w:rStyle w:val="FootnoteReference"/>
          <w:rFonts w:asciiTheme="majorHAnsi" w:hAnsiTheme="majorHAnsi" w:cs="Arial"/>
          <w:bCs/>
        </w:rPr>
        <w:footnoteReference w:id="5"/>
      </w:r>
      <w:r w:rsidR="00C00E1D">
        <w:rPr>
          <w:rFonts w:asciiTheme="majorHAnsi" w:hAnsiTheme="majorHAnsi" w:cs="Arial"/>
          <w:bCs/>
        </w:rPr>
        <w:t xml:space="preserve"> and</w:t>
      </w:r>
    </w:p>
    <w:p w:rsidR="00B002DF" w:rsidRPr="00B002DF" w:rsidRDefault="00191C0D" w:rsidP="000C4818">
      <w:pPr>
        <w:pStyle w:val="ListParagraph"/>
        <w:numPr>
          <w:ilvl w:val="1"/>
          <w:numId w:val="3"/>
        </w:numPr>
        <w:spacing w:after="200" w:line="276" w:lineRule="auto"/>
        <w:rPr>
          <w:rFonts w:asciiTheme="majorHAnsi" w:hAnsiTheme="majorHAnsi" w:cs="Arial"/>
          <w:bCs/>
        </w:rPr>
      </w:pPr>
      <w:r>
        <w:rPr>
          <w:rFonts w:asciiTheme="majorHAnsi" w:hAnsiTheme="majorHAnsi" w:cs="Arial"/>
          <w:bCs/>
        </w:rPr>
        <w:t>Analysis of Australia’s economic outlook, including the minutes of the July meeting of the Board of the Reserve Bank of Australia Board</w:t>
      </w:r>
      <w:r w:rsidR="00490930">
        <w:rPr>
          <w:rFonts w:asciiTheme="majorHAnsi" w:hAnsiTheme="majorHAnsi" w:cs="Arial"/>
          <w:bCs/>
        </w:rPr>
        <w:t xml:space="preserve">, and the </w:t>
      </w:r>
      <w:r w:rsidR="00D8617A">
        <w:rPr>
          <w:rFonts w:asciiTheme="majorHAnsi" w:hAnsiTheme="majorHAnsi" w:cs="Arial"/>
          <w:bCs/>
        </w:rPr>
        <w:t>final</w:t>
      </w:r>
      <w:r w:rsidR="00490930">
        <w:rPr>
          <w:rFonts w:asciiTheme="majorHAnsi" w:hAnsiTheme="majorHAnsi" w:cs="Arial"/>
          <w:bCs/>
        </w:rPr>
        <w:t xml:space="preserve"> </w:t>
      </w:r>
      <w:r w:rsidR="00D8617A">
        <w:rPr>
          <w:rFonts w:asciiTheme="majorHAnsi" w:hAnsiTheme="majorHAnsi" w:cs="Arial"/>
          <w:bCs/>
        </w:rPr>
        <w:t xml:space="preserve">public </w:t>
      </w:r>
      <w:r w:rsidR="00490930">
        <w:rPr>
          <w:rFonts w:asciiTheme="majorHAnsi" w:hAnsiTheme="majorHAnsi" w:cs="Arial"/>
          <w:bCs/>
        </w:rPr>
        <w:t xml:space="preserve">speech </w:t>
      </w:r>
      <w:r w:rsidR="00D8617A">
        <w:rPr>
          <w:rFonts w:asciiTheme="majorHAnsi" w:hAnsiTheme="majorHAnsi" w:cs="Arial"/>
          <w:bCs/>
        </w:rPr>
        <w:t>delivered by</w:t>
      </w:r>
      <w:r w:rsidR="00490930">
        <w:rPr>
          <w:rFonts w:asciiTheme="majorHAnsi" w:hAnsiTheme="majorHAnsi" w:cs="Arial"/>
          <w:bCs/>
        </w:rPr>
        <w:t xml:space="preserve"> the retiring Governor</w:t>
      </w:r>
      <w:r w:rsidR="00D8617A">
        <w:rPr>
          <w:rFonts w:asciiTheme="majorHAnsi" w:hAnsiTheme="majorHAnsi" w:cs="Arial"/>
          <w:bCs/>
        </w:rPr>
        <w:t xml:space="preserve"> of the Reserve Bank</w:t>
      </w:r>
      <w:r w:rsidR="00490930">
        <w:rPr>
          <w:rFonts w:asciiTheme="majorHAnsi" w:hAnsiTheme="majorHAnsi" w:cs="Arial"/>
          <w:bCs/>
        </w:rPr>
        <w:t>, Glenn Stevens</w:t>
      </w:r>
      <w:r w:rsidR="009A2952">
        <w:rPr>
          <w:rFonts w:asciiTheme="majorHAnsi" w:hAnsiTheme="majorHAnsi" w:cs="Arial"/>
          <w:bCs/>
        </w:rPr>
        <w:t xml:space="preserve"> AC</w:t>
      </w:r>
      <w:r w:rsidR="00490930">
        <w:rPr>
          <w:rFonts w:asciiTheme="majorHAnsi" w:hAnsiTheme="majorHAnsi" w:cs="Arial"/>
          <w:bCs/>
        </w:rPr>
        <w:t>.</w:t>
      </w:r>
      <w:r w:rsidR="000C4818">
        <w:rPr>
          <w:rStyle w:val="FootnoteReference"/>
          <w:rFonts w:asciiTheme="majorHAnsi" w:hAnsiTheme="majorHAnsi" w:cs="Arial"/>
          <w:bCs/>
        </w:rPr>
        <w:footnoteReference w:id="6"/>
      </w:r>
      <w:r w:rsidR="00CA4BF1">
        <w:rPr>
          <w:rFonts w:asciiTheme="majorHAnsi" w:hAnsiTheme="majorHAnsi" w:cs="Arial"/>
          <w:bCs/>
        </w:rPr>
        <w:t xml:space="preserve"> </w:t>
      </w:r>
      <w:r w:rsidR="00CA4BF1">
        <w:rPr>
          <w:rStyle w:val="FootnoteReference"/>
          <w:rFonts w:asciiTheme="majorHAnsi" w:hAnsiTheme="majorHAnsi" w:cs="Arial"/>
          <w:bCs/>
        </w:rPr>
        <w:footnoteReference w:id="7"/>
      </w:r>
    </w:p>
    <w:p w:rsidR="00B002DF" w:rsidRDefault="00B002DF" w:rsidP="00DC0159">
      <w:pPr>
        <w:pStyle w:val="ListParagraph"/>
        <w:numPr>
          <w:ilvl w:val="0"/>
          <w:numId w:val="3"/>
        </w:numPr>
        <w:spacing w:after="200" w:line="276" w:lineRule="auto"/>
        <w:rPr>
          <w:rFonts w:asciiTheme="majorHAnsi" w:hAnsiTheme="majorHAnsi" w:cs="Arial"/>
          <w:bCs/>
        </w:rPr>
      </w:pPr>
      <w:r w:rsidRPr="00B002DF">
        <w:rPr>
          <w:rFonts w:asciiTheme="majorHAnsi" w:hAnsiTheme="majorHAnsi" w:cs="Arial"/>
          <w:bCs/>
        </w:rPr>
        <w:t xml:space="preserve">The views of </w:t>
      </w:r>
      <w:r w:rsidR="000A2698">
        <w:rPr>
          <w:rFonts w:asciiTheme="majorHAnsi" w:hAnsiTheme="majorHAnsi" w:cs="Arial"/>
          <w:bCs/>
        </w:rPr>
        <w:t xml:space="preserve">MPs </w:t>
      </w:r>
      <w:r w:rsidRPr="00B002DF">
        <w:rPr>
          <w:rFonts w:asciiTheme="majorHAnsi" w:hAnsiTheme="majorHAnsi" w:cs="Arial"/>
          <w:bCs/>
        </w:rPr>
        <w:t>obtained</w:t>
      </w:r>
      <w:r w:rsidR="009633AB">
        <w:rPr>
          <w:rFonts w:asciiTheme="majorHAnsi" w:hAnsiTheme="majorHAnsi" w:cs="Arial"/>
          <w:bCs/>
        </w:rPr>
        <w:t xml:space="preserve"> in the course of our inquiries.</w:t>
      </w:r>
    </w:p>
    <w:p w:rsidR="00C00E1D" w:rsidRDefault="00C00E1D" w:rsidP="00C00E1D">
      <w:pPr>
        <w:pStyle w:val="Heading2"/>
      </w:pPr>
      <w:r>
        <w:lastRenderedPageBreak/>
        <w:t>Discussion</w:t>
      </w:r>
    </w:p>
    <w:p w:rsidR="00FD0616" w:rsidRDefault="00FD0616" w:rsidP="00DC0159">
      <w:pPr>
        <w:spacing w:line="276" w:lineRule="auto"/>
        <w:rPr>
          <w:rFonts w:asciiTheme="majorHAnsi" w:hAnsiTheme="majorHAnsi" w:cs="Arial"/>
          <w:bCs/>
        </w:rPr>
      </w:pPr>
    </w:p>
    <w:p w:rsidR="00D8617A" w:rsidRDefault="00C00E1D" w:rsidP="00DC0159">
      <w:pPr>
        <w:spacing w:line="276" w:lineRule="auto"/>
        <w:rPr>
          <w:rFonts w:asciiTheme="majorHAnsi" w:hAnsiTheme="majorHAnsi" w:cs="Arial"/>
          <w:bCs/>
        </w:rPr>
      </w:pPr>
      <w:r>
        <w:rPr>
          <w:rFonts w:asciiTheme="majorHAnsi" w:hAnsiTheme="majorHAnsi" w:cs="Arial"/>
          <w:bCs/>
        </w:rPr>
        <w:t xml:space="preserve">In addition to the findings of our consultations and analysis of the data </w:t>
      </w:r>
      <w:r w:rsidR="00D8617A">
        <w:rPr>
          <w:rFonts w:asciiTheme="majorHAnsi" w:hAnsiTheme="majorHAnsi" w:cs="Arial"/>
          <w:bCs/>
        </w:rPr>
        <w:t xml:space="preserve">noted above, </w:t>
      </w:r>
      <w:r>
        <w:rPr>
          <w:rFonts w:asciiTheme="majorHAnsi" w:hAnsiTheme="majorHAnsi" w:cs="Arial"/>
          <w:bCs/>
        </w:rPr>
        <w:t xml:space="preserve">the Tribunal has weighed </w:t>
      </w:r>
      <w:r w:rsidR="00D8617A">
        <w:rPr>
          <w:rFonts w:asciiTheme="majorHAnsi" w:hAnsiTheme="majorHAnsi" w:cs="Arial"/>
          <w:bCs/>
        </w:rPr>
        <w:t>a range of other factors in making this Determination. These include the important public duties and complex, demanding</w:t>
      </w:r>
      <w:r w:rsidR="00EA1EE9">
        <w:rPr>
          <w:rFonts w:asciiTheme="majorHAnsi" w:hAnsiTheme="majorHAnsi" w:cs="Arial"/>
          <w:bCs/>
        </w:rPr>
        <w:t xml:space="preserve"> responsibilities</w:t>
      </w:r>
      <w:r w:rsidR="00D8617A">
        <w:rPr>
          <w:rFonts w:asciiTheme="majorHAnsi" w:hAnsiTheme="majorHAnsi" w:cs="Arial"/>
          <w:bCs/>
        </w:rPr>
        <w:t xml:space="preserve"> of </w:t>
      </w:r>
      <w:r w:rsidR="009F78FA">
        <w:rPr>
          <w:rFonts w:asciiTheme="majorHAnsi" w:hAnsiTheme="majorHAnsi" w:cs="Arial"/>
          <w:bCs/>
        </w:rPr>
        <w:t>MPs</w:t>
      </w:r>
      <w:r w:rsidR="00D8617A">
        <w:rPr>
          <w:rFonts w:asciiTheme="majorHAnsi" w:hAnsiTheme="majorHAnsi" w:cs="Arial"/>
          <w:bCs/>
        </w:rPr>
        <w:t xml:space="preserve"> as representatives of the people of Queensland</w:t>
      </w:r>
      <w:r w:rsidR="00EA1EE9">
        <w:rPr>
          <w:rFonts w:asciiTheme="majorHAnsi" w:hAnsiTheme="majorHAnsi" w:cs="Arial"/>
          <w:bCs/>
        </w:rPr>
        <w:t xml:space="preserve"> and </w:t>
      </w:r>
      <w:r w:rsidR="00D8617A">
        <w:rPr>
          <w:rFonts w:asciiTheme="majorHAnsi" w:hAnsiTheme="majorHAnsi" w:cs="Arial"/>
          <w:bCs/>
        </w:rPr>
        <w:t xml:space="preserve">the critical contribution MPs and office holders make to the good governance of our state. Levels of remuneration must, in our view, recognise and reward the demands that accompany election to public office – the responsibilities and obligations that accrue to members as representatives, the long hours worked in serving their constituents, and the high </w:t>
      </w:r>
      <w:r w:rsidR="00B719D5">
        <w:rPr>
          <w:rFonts w:asciiTheme="majorHAnsi" w:hAnsiTheme="majorHAnsi" w:cs="Arial"/>
          <w:bCs/>
        </w:rPr>
        <w:t>standards</w:t>
      </w:r>
      <w:r w:rsidR="00D8617A">
        <w:rPr>
          <w:rFonts w:asciiTheme="majorHAnsi" w:hAnsiTheme="majorHAnsi" w:cs="Arial"/>
          <w:bCs/>
        </w:rPr>
        <w:t xml:space="preserve"> of integrity, accountability and </w:t>
      </w:r>
      <w:r w:rsidR="00B719D5">
        <w:rPr>
          <w:rFonts w:asciiTheme="majorHAnsi" w:hAnsiTheme="majorHAnsi" w:cs="Arial"/>
          <w:bCs/>
        </w:rPr>
        <w:t xml:space="preserve">responsiveness that are </w:t>
      </w:r>
      <w:r w:rsidR="00D8617A">
        <w:rPr>
          <w:rFonts w:asciiTheme="majorHAnsi" w:hAnsiTheme="majorHAnsi" w:cs="Arial"/>
          <w:bCs/>
        </w:rPr>
        <w:t xml:space="preserve">rightly </w:t>
      </w:r>
      <w:r w:rsidR="00B719D5">
        <w:rPr>
          <w:rFonts w:asciiTheme="majorHAnsi" w:hAnsiTheme="majorHAnsi" w:cs="Arial"/>
          <w:bCs/>
        </w:rPr>
        <w:t>owed to the Parliament for the honour of taking a seat in the chamber.</w:t>
      </w:r>
    </w:p>
    <w:p w:rsidR="00B719D5" w:rsidRDefault="00B719D5" w:rsidP="00DC0159">
      <w:pPr>
        <w:spacing w:line="276" w:lineRule="auto"/>
        <w:rPr>
          <w:rFonts w:asciiTheme="majorHAnsi" w:hAnsiTheme="majorHAnsi" w:cs="Arial"/>
          <w:bCs/>
        </w:rPr>
      </w:pPr>
    </w:p>
    <w:p w:rsidR="004E3CF4" w:rsidRDefault="00B719D5" w:rsidP="004E3CF4">
      <w:pPr>
        <w:spacing w:line="276" w:lineRule="auto"/>
        <w:rPr>
          <w:rFonts w:asciiTheme="majorHAnsi" w:hAnsiTheme="majorHAnsi" w:cs="Arial"/>
          <w:bCs/>
        </w:rPr>
      </w:pPr>
      <w:r>
        <w:rPr>
          <w:rFonts w:asciiTheme="majorHAnsi" w:hAnsiTheme="majorHAnsi" w:cs="Arial"/>
          <w:bCs/>
        </w:rPr>
        <w:t xml:space="preserve">The Tribunal considers it especially important that base salary levels for </w:t>
      </w:r>
      <w:r w:rsidR="000A2698">
        <w:rPr>
          <w:rFonts w:asciiTheme="majorHAnsi" w:hAnsiTheme="majorHAnsi" w:cs="Arial"/>
          <w:bCs/>
        </w:rPr>
        <w:t xml:space="preserve">Queensland MPs </w:t>
      </w:r>
      <w:r>
        <w:rPr>
          <w:rFonts w:asciiTheme="majorHAnsi" w:hAnsiTheme="majorHAnsi" w:cs="Arial"/>
          <w:bCs/>
        </w:rPr>
        <w:t xml:space="preserve">should remain broadly consistent with representatives in other </w:t>
      </w:r>
      <w:r w:rsidR="000C0049">
        <w:rPr>
          <w:rFonts w:asciiTheme="majorHAnsi" w:hAnsiTheme="majorHAnsi" w:cs="Arial"/>
          <w:bCs/>
        </w:rPr>
        <w:t>states and territories</w:t>
      </w:r>
      <w:r w:rsidR="00EA1EE9">
        <w:rPr>
          <w:rFonts w:asciiTheme="majorHAnsi" w:hAnsiTheme="majorHAnsi" w:cs="Arial"/>
          <w:bCs/>
        </w:rPr>
        <w:t xml:space="preserve">. </w:t>
      </w:r>
      <w:r w:rsidR="004E3CF4">
        <w:rPr>
          <w:rFonts w:asciiTheme="majorHAnsi" w:hAnsiTheme="majorHAnsi" w:cs="Arial"/>
          <w:bCs/>
        </w:rPr>
        <w:t xml:space="preserve">At the same time, we recognise community expectations, and those of the members themselves for that matter. </w:t>
      </w:r>
    </w:p>
    <w:p w:rsidR="000A2698" w:rsidRDefault="000A2698" w:rsidP="004E3CF4">
      <w:pPr>
        <w:spacing w:line="276" w:lineRule="auto"/>
        <w:rPr>
          <w:rFonts w:asciiTheme="majorHAnsi" w:hAnsiTheme="majorHAnsi" w:cs="Arial"/>
          <w:bCs/>
        </w:rPr>
      </w:pPr>
    </w:p>
    <w:p w:rsidR="004E3CF4" w:rsidRDefault="004E3CF4" w:rsidP="004E3CF4">
      <w:pPr>
        <w:spacing w:line="276" w:lineRule="auto"/>
        <w:rPr>
          <w:rFonts w:asciiTheme="majorHAnsi" w:hAnsiTheme="majorHAnsi" w:cs="Arial"/>
          <w:bCs/>
        </w:rPr>
      </w:pPr>
      <w:r>
        <w:rPr>
          <w:rFonts w:asciiTheme="majorHAnsi" w:hAnsiTheme="majorHAnsi" w:cs="Arial"/>
          <w:bCs/>
        </w:rPr>
        <w:t xml:space="preserve">We are confident our approach will avoid the need for more significant adjustments in the forward years. </w:t>
      </w:r>
    </w:p>
    <w:p w:rsidR="004E3CF4" w:rsidRDefault="004E3CF4" w:rsidP="00DC0159">
      <w:pPr>
        <w:spacing w:line="276" w:lineRule="auto"/>
        <w:rPr>
          <w:rFonts w:asciiTheme="majorHAnsi" w:hAnsiTheme="majorHAnsi" w:cs="Arial"/>
          <w:bCs/>
        </w:rPr>
      </w:pPr>
    </w:p>
    <w:p w:rsidR="00C935F7" w:rsidRDefault="00EA1EE9" w:rsidP="00DC0159">
      <w:pPr>
        <w:spacing w:line="276" w:lineRule="auto"/>
        <w:rPr>
          <w:rFonts w:asciiTheme="majorHAnsi" w:hAnsiTheme="majorHAnsi" w:cs="Arial"/>
          <w:bCs/>
        </w:rPr>
      </w:pPr>
      <w:r>
        <w:rPr>
          <w:rFonts w:asciiTheme="majorHAnsi" w:hAnsiTheme="majorHAnsi" w:cs="Arial"/>
          <w:bCs/>
        </w:rPr>
        <w:t>Additionally</w:t>
      </w:r>
      <w:r w:rsidR="000A2698">
        <w:rPr>
          <w:rFonts w:asciiTheme="majorHAnsi" w:hAnsiTheme="majorHAnsi" w:cs="Arial"/>
          <w:bCs/>
        </w:rPr>
        <w:t>,</w:t>
      </w:r>
      <w:r>
        <w:rPr>
          <w:rFonts w:asciiTheme="majorHAnsi" w:hAnsiTheme="majorHAnsi" w:cs="Arial"/>
          <w:bCs/>
        </w:rPr>
        <w:t xml:space="preserve"> we considered </w:t>
      </w:r>
      <w:r w:rsidR="00B719D5">
        <w:rPr>
          <w:rFonts w:asciiTheme="majorHAnsi" w:hAnsiTheme="majorHAnsi" w:cs="Arial"/>
          <w:bCs/>
        </w:rPr>
        <w:t xml:space="preserve">that in the prevailing economic circumstances of uncertainty and concerns the global economy has entered a period of sustained low growth, restraint is called for. </w:t>
      </w:r>
    </w:p>
    <w:p w:rsidR="000144EA" w:rsidRDefault="000144EA" w:rsidP="00DC0159">
      <w:pPr>
        <w:spacing w:line="276" w:lineRule="auto"/>
        <w:rPr>
          <w:rFonts w:asciiTheme="majorHAnsi" w:hAnsiTheme="majorHAnsi" w:cs="Arial"/>
          <w:bCs/>
        </w:rPr>
      </w:pPr>
    </w:p>
    <w:p w:rsidR="00EA1EE9" w:rsidRDefault="000D6A76" w:rsidP="00DC0159">
      <w:pPr>
        <w:spacing w:line="276" w:lineRule="auto"/>
        <w:rPr>
          <w:rFonts w:asciiTheme="majorHAnsi" w:hAnsiTheme="majorHAnsi" w:cs="Arial"/>
          <w:bCs/>
        </w:rPr>
      </w:pPr>
      <w:r>
        <w:rPr>
          <w:rFonts w:asciiTheme="majorHAnsi" w:hAnsiTheme="majorHAnsi" w:cs="Arial"/>
          <w:bCs/>
        </w:rPr>
        <w:t xml:space="preserve">In arriving at this Determination, the Tribunal has </w:t>
      </w:r>
      <w:r w:rsidR="00507AFA">
        <w:rPr>
          <w:rFonts w:asciiTheme="majorHAnsi" w:hAnsiTheme="majorHAnsi" w:cs="Arial"/>
          <w:bCs/>
        </w:rPr>
        <w:t>weighed</w:t>
      </w:r>
      <w:r>
        <w:rPr>
          <w:rFonts w:asciiTheme="majorHAnsi" w:hAnsiTheme="majorHAnsi" w:cs="Arial"/>
          <w:bCs/>
        </w:rPr>
        <w:t xml:space="preserve"> </w:t>
      </w:r>
      <w:r w:rsidR="00507AFA">
        <w:rPr>
          <w:rFonts w:asciiTheme="majorHAnsi" w:hAnsiTheme="majorHAnsi" w:cs="Arial"/>
          <w:bCs/>
        </w:rPr>
        <w:t xml:space="preserve">carefully </w:t>
      </w:r>
      <w:r>
        <w:rPr>
          <w:rFonts w:asciiTheme="majorHAnsi" w:hAnsiTheme="majorHAnsi" w:cs="Arial"/>
          <w:bCs/>
        </w:rPr>
        <w:t>all the evidence available to us, including, but not simply, the economic indicators. We consider increases to base salar</w:t>
      </w:r>
      <w:r w:rsidR="00507AFA">
        <w:rPr>
          <w:rFonts w:asciiTheme="majorHAnsi" w:hAnsiTheme="majorHAnsi" w:cs="Arial"/>
          <w:bCs/>
        </w:rPr>
        <w:t xml:space="preserve">y levels for MPs are justified. </w:t>
      </w:r>
    </w:p>
    <w:p w:rsidR="00EA1EE9" w:rsidRDefault="00EA1EE9" w:rsidP="00DC0159">
      <w:pPr>
        <w:spacing w:line="276" w:lineRule="auto"/>
        <w:rPr>
          <w:rFonts w:asciiTheme="majorHAnsi" w:hAnsiTheme="majorHAnsi" w:cs="Arial"/>
          <w:bCs/>
        </w:rPr>
      </w:pPr>
    </w:p>
    <w:p w:rsidR="005813F9" w:rsidRPr="00A771C7" w:rsidRDefault="00507AFA" w:rsidP="00DC0159">
      <w:pPr>
        <w:spacing w:line="276" w:lineRule="auto"/>
        <w:rPr>
          <w:rFonts w:asciiTheme="majorHAnsi" w:hAnsiTheme="majorHAnsi" w:cs="Arial"/>
          <w:bCs/>
        </w:rPr>
      </w:pPr>
      <w:r w:rsidRPr="00A771C7">
        <w:rPr>
          <w:rFonts w:asciiTheme="majorHAnsi" w:hAnsiTheme="majorHAnsi" w:cs="Arial"/>
          <w:bCs/>
        </w:rPr>
        <w:t xml:space="preserve">However, </w:t>
      </w:r>
      <w:r w:rsidR="000D6A76" w:rsidRPr="00A771C7">
        <w:rPr>
          <w:rFonts w:asciiTheme="majorHAnsi" w:hAnsiTheme="majorHAnsi" w:cs="Arial"/>
          <w:bCs/>
        </w:rPr>
        <w:t xml:space="preserve">we </w:t>
      </w:r>
      <w:r w:rsidRPr="00A771C7">
        <w:rPr>
          <w:rFonts w:asciiTheme="majorHAnsi" w:hAnsiTheme="majorHAnsi" w:cs="Arial"/>
          <w:bCs/>
        </w:rPr>
        <w:t>emphasise</w:t>
      </w:r>
      <w:r w:rsidR="000D6A76" w:rsidRPr="00A771C7">
        <w:rPr>
          <w:rFonts w:asciiTheme="majorHAnsi" w:hAnsiTheme="majorHAnsi" w:cs="Arial"/>
          <w:bCs/>
        </w:rPr>
        <w:t xml:space="preserve"> that </w:t>
      </w:r>
      <w:r w:rsidR="005813F9" w:rsidRPr="00A771C7">
        <w:rPr>
          <w:rFonts w:asciiTheme="majorHAnsi" w:hAnsiTheme="majorHAnsi" w:cs="Arial"/>
          <w:bCs/>
        </w:rPr>
        <w:t xml:space="preserve">we do not </w:t>
      </w:r>
      <w:r w:rsidR="002132BA" w:rsidRPr="00A771C7">
        <w:rPr>
          <w:rFonts w:asciiTheme="majorHAnsi" w:hAnsiTheme="majorHAnsi" w:cs="Arial"/>
          <w:bCs/>
        </w:rPr>
        <w:t>consider</w:t>
      </w:r>
      <w:r w:rsidR="005813F9" w:rsidRPr="00A771C7">
        <w:rPr>
          <w:rFonts w:asciiTheme="majorHAnsi" w:hAnsiTheme="majorHAnsi" w:cs="Arial"/>
          <w:bCs/>
        </w:rPr>
        <w:t xml:space="preserve"> there is any </w:t>
      </w:r>
      <w:r w:rsidR="00A771C7" w:rsidRPr="00A771C7">
        <w:rPr>
          <w:rFonts w:asciiTheme="majorHAnsi" w:hAnsiTheme="majorHAnsi" w:cs="Arial"/>
          <w:bCs/>
        </w:rPr>
        <w:t xml:space="preserve">specific </w:t>
      </w:r>
      <w:r w:rsidR="005813F9" w:rsidRPr="00A771C7">
        <w:rPr>
          <w:rFonts w:asciiTheme="majorHAnsi" w:hAnsiTheme="majorHAnsi" w:cs="Arial"/>
          <w:bCs/>
        </w:rPr>
        <w:t xml:space="preserve">link between public service and MP base salaries beyond the parameters established by the Act (that members’ salary increases should not exceed those set for public services wages). </w:t>
      </w:r>
    </w:p>
    <w:p w:rsidR="00331A07" w:rsidRDefault="00331A07" w:rsidP="00DC0159">
      <w:pPr>
        <w:spacing w:line="276" w:lineRule="auto"/>
        <w:rPr>
          <w:rFonts w:asciiTheme="majorHAnsi" w:hAnsiTheme="majorHAnsi" w:cs="Arial"/>
          <w:bCs/>
        </w:rPr>
      </w:pPr>
    </w:p>
    <w:p w:rsidR="00EA1EE9" w:rsidRPr="00822446" w:rsidRDefault="00331A07" w:rsidP="00DC0159">
      <w:pPr>
        <w:spacing w:line="276" w:lineRule="auto"/>
        <w:rPr>
          <w:rFonts w:asciiTheme="majorHAnsi" w:hAnsiTheme="majorHAnsi" w:cs="Arial"/>
          <w:bCs/>
        </w:rPr>
      </w:pPr>
      <w:r w:rsidRPr="00822446">
        <w:rPr>
          <w:rFonts w:asciiTheme="majorHAnsi" w:hAnsiTheme="majorHAnsi" w:cs="Arial"/>
          <w:bCs/>
        </w:rPr>
        <w:t>The Tribunal has taken account of economic factors in determining additional salaries for office holders. We consider they have particular responsibilities</w:t>
      </w:r>
      <w:r w:rsidR="00EA1EE9" w:rsidRPr="00822446">
        <w:rPr>
          <w:rFonts w:asciiTheme="majorHAnsi" w:hAnsiTheme="majorHAnsi" w:cs="Arial"/>
          <w:bCs/>
        </w:rPr>
        <w:t xml:space="preserve"> in line with their office, </w:t>
      </w:r>
      <w:r w:rsidRPr="00822446">
        <w:rPr>
          <w:rFonts w:asciiTheme="majorHAnsi" w:hAnsiTheme="majorHAnsi" w:cs="Arial"/>
          <w:bCs/>
        </w:rPr>
        <w:t xml:space="preserve">as well as greater capacity to shape policies to address the softening outlook highlighted in the Tribunal’s analysis of economic indicators. We think it </w:t>
      </w:r>
      <w:r w:rsidR="000A2698" w:rsidRPr="00822446">
        <w:rPr>
          <w:rFonts w:asciiTheme="majorHAnsi" w:hAnsiTheme="majorHAnsi" w:cs="Arial"/>
          <w:bCs/>
        </w:rPr>
        <w:t xml:space="preserve">is </w:t>
      </w:r>
      <w:r w:rsidRPr="00822446">
        <w:rPr>
          <w:rFonts w:asciiTheme="majorHAnsi" w:hAnsiTheme="majorHAnsi" w:cs="Arial"/>
          <w:bCs/>
        </w:rPr>
        <w:t>reasonable that office holder salaries should be subject to the wage restraints being experienced by high-income earners in other sectors.</w:t>
      </w:r>
      <w:r w:rsidR="00EA1EE9" w:rsidRPr="00822446">
        <w:rPr>
          <w:rFonts w:asciiTheme="majorHAnsi" w:hAnsiTheme="majorHAnsi" w:cs="Arial"/>
          <w:bCs/>
        </w:rPr>
        <w:t xml:space="preserve"> </w:t>
      </w:r>
    </w:p>
    <w:p w:rsidR="002E772D" w:rsidRDefault="002E772D" w:rsidP="00DC0159">
      <w:pPr>
        <w:spacing w:line="276" w:lineRule="auto"/>
        <w:rPr>
          <w:rFonts w:asciiTheme="majorHAnsi" w:hAnsiTheme="majorHAnsi" w:cs="Arial"/>
          <w:bCs/>
        </w:rPr>
      </w:pPr>
    </w:p>
    <w:p w:rsidR="00331A07" w:rsidRDefault="00331A07" w:rsidP="00DC0159">
      <w:pPr>
        <w:spacing w:line="276" w:lineRule="auto"/>
        <w:rPr>
          <w:rFonts w:asciiTheme="majorHAnsi" w:hAnsiTheme="majorHAnsi" w:cs="Arial"/>
          <w:bCs/>
        </w:rPr>
      </w:pPr>
      <w:r>
        <w:rPr>
          <w:rFonts w:asciiTheme="majorHAnsi" w:hAnsiTheme="majorHAnsi" w:cs="Arial"/>
          <w:bCs/>
        </w:rPr>
        <w:t xml:space="preserve">We note, for </w:t>
      </w:r>
      <w:r w:rsidRPr="002E772D">
        <w:rPr>
          <w:rFonts w:asciiTheme="majorHAnsi" w:hAnsiTheme="majorHAnsi" w:cs="Arial"/>
          <w:bCs/>
        </w:rPr>
        <w:t>example,</w:t>
      </w:r>
      <w:r w:rsidR="002E772D" w:rsidRPr="002E772D">
        <w:rPr>
          <w:rFonts w:asciiTheme="majorHAnsi" w:hAnsiTheme="majorHAnsi" w:cs="Arial"/>
          <w:bCs/>
        </w:rPr>
        <w:t xml:space="preserve"> </w:t>
      </w:r>
      <w:r w:rsidR="002E772D" w:rsidRPr="002E772D">
        <w:rPr>
          <w:rFonts w:asciiTheme="majorHAnsi" w:hAnsiTheme="majorHAnsi"/>
        </w:rPr>
        <w:t xml:space="preserve">that CPI was 1.51% in </w:t>
      </w:r>
      <w:r w:rsidR="004527A2">
        <w:rPr>
          <w:rFonts w:asciiTheme="majorHAnsi" w:hAnsiTheme="majorHAnsi"/>
        </w:rPr>
        <w:t>2014-</w:t>
      </w:r>
      <w:r w:rsidR="002E772D" w:rsidRPr="002E772D">
        <w:rPr>
          <w:rFonts w:asciiTheme="majorHAnsi" w:hAnsiTheme="majorHAnsi"/>
        </w:rPr>
        <w:t>15 and 1.</w:t>
      </w:r>
      <w:r w:rsidR="004527A2">
        <w:rPr>
          <w:rFonts w:asciiTheme="majorHAnsi" w:hAnsiTheme="majorHAnsi"/>
        </w:rPr>
        <w:t>49</w:t>
      </w:r>
      <w:r w:rsidR="002E772D" w:rsidRPr="002E772D">
        <w:rPr>
          <w:rFonts w:asciiTheme="majorHAnsi" w:hAnsiTheme="majorHAnsi"/>
        </w:rPr>
        <w:t xml:space="preserve">% in </w:t>
      </w:r>
      <w:r w:rsidR="004527A2">
        <w:rPr>
          <w:rFonts w:asciiTheme="majorHAnsi" w:hAnsiTheme="majorHAnsi"/>
        </w:rPr>
        <w:t>2015-16</w:t>
      </w:r>
      <w:r w:rsidR="002E772D" w:rsidRPr="002E772D">
        <w:rPr>
          <w:rFonts w:asciiTheme="majorHAnsi" w:hAnsiTheme="majorHAnsi"/>
        </w:rPr>
        <w:t>.</w:t>
      </w:r>
      <w:r w:rsidR="002E772D">
        <w:rPr>
          <w:rFonts w:asciiTheme="majorHAnsi" w:hAnsiTheme="majorHAnsi"/>
        </w:rPr>
        <w:t xml:space="preserve"> We also note </w:t>
      </w:r>
      <w:r>
        <w:rPr>
          <w:rFonts w:asciiTheme="majorHAnsi" w:hAnsiTheme="majorHAnsi" w:cs="Arial"/>
          <w:bCs/>
        </w:rPr>
        <w:t>that public service chief executive</w:t>
      </w:r>
      <w:r w:rsidR="006A02A2">
        <w:rPr>
          <w:rFonts w:asciiTheme="majorHAnsi" w:hAnsiTheme="majorHAnsi" w:cs="Arial"/>
          <w:bCs/>
        </w:rPr>
        <w:t>s did not receive the 2.5% increase</w:t>
      </w:r>
      <w:r w:rsidR="00E41F87">
        <w:rPr>
          <w:rFonts w:asciiTheme="majorHAnsi" w:hAnsiTheme="majorHAnsi" w:cs="Arial"/>
          <w:bCs/>
        </w:rPr>
        <w:t xml:space="preserve"> awarded </w:t>
      </w:r>
      <w:r w:rsidR="006A02A2">
        <w:rPr>
          <w:rFonts w:asciiTheme="majorHAnsi" w:hAnsiTheme="majorHAnsi" w:cs="Arial"/>
          <w:bCs/>
        </w:rPr>
        <w:t xml:space="preserve">under Directive 5/15, </w:t>
      </w:r>
      <w:r>
        <w:rPr>
          <w:rFonts w:asciiTheme="majorHAnsi" w:hAnsiTheme="majorHAnsi" w:cs="Arial"/>
          <w:bCs/>
        </w:rPr>
        <w:t xml:space="preserve">and that private sector wages </w:t>
      </w:r>
      <w:r w:rsidR="007316BA">
        <w:rPr>
          <w:rFonts w:asciiTheme="majorHAnsi" w:hAnsiTheme="majorHAnsi" w:cs="Arial"/>
          <w:bCs/>
        </w:rPr>
        <w:t xml:space="preserve">increased only 0.15% in 2014-15 and are expected to remain </w:t>
      </w:r>
      <w:r w:rsidR="007316BA" w:rsidRPr="00E23DF9">
        <w:rPr>
          <w:rFonts w:asciiTheme="majorHAnsi" w:hAnsiTheme="majorHAnsi" w:cs="Arial"/>
          <w:bCs/>
        </w:rPr>
        <w:t xml:space="preserve">subdued. Accordingly, we determine that the additional salary payable to the office of Premier should be increased by </w:t>
      </w:r>
      <w:r w:rsidR="00165CA1" w:rsidRPr="00E23DF9">
        <w:rPr>
          <w:rFonts w:asciiTheme="majorHAnsi" w:hAnsiTheme="majorHAnsi" w:cs="Arial"/>
          <w:bCs/>
        </w:rPr>
        <w:t xml:space="preserve">1.5% </w:t>
      </w:r>
      <w:r w:rsidR="007316BA" w:rsidRPr="00E23DF9">
        <w:rPr>
          <w:rFonts w:asciiTheme="majorHAnsi" w:hAnsiTheme="majorHAnsi" w:cs="Arial"/>
          <w:bCs/>
        </w:rPr>
        <w:t>over each of the three years, with other office-holders to receive the proportion as determined according to the relativities established in previous Determinations.</w:t>
      </w:r>
    </w:p>
    <w:p w:rsidR="002C356B" w:rsidRPr="00A33A90" w:rsidRDefault="00A33A90" w:rsidP="00A33A90">
      <w:pPr>
        <w:spacing w:line="276" w:lineRule="auto"/>
        <w:rPr>
          <w:rFonts w:asciiTheme="majorHAnsi" w:hAnsiTheme="majorHAnsi" w:cs="Arial"/>
          <w:bCs/>
        </w:rPr>
      </w:pPr>
      <w:r>
        <w:rPr>
          <w:rFonts w:asciiTheme="majorHAnsi" w:hAnsiTheme="majorHAnsi" w:cs="Arial"/>
          <w:bCs/>
        </w:rPr>
        <w:br w:type="page"/>
      </w:r>
    </w:p>
    <w:p w:rsidR="007316BA" w:rsidRDefault="007316BA" w:rsidP="007316BA">
      <w:pPr>
        <w:pStyle w:val="Heading2"/>
      </w:pPr>
      <w:r>
        <w:lastRenderedPageBreak/>
        <w:t>Determination</w:t>
      </w:r>
    </w:p>
    <w:p w:rsidR="00C00E1D" w:rsidRDefault="00C00E1D" w:rsidP="00DC0159">
      <w:pPr>
        <w:spacing w:line="276" w:lineRule="auto"/>
        <w:rPr>
          <w:rFonts w:asciiTheme="majorHAnsi" w:hAnsiTheme="majorHAnsi" w:cs="Arial"/>
          <w:bCs/>
        </w:rPr>
      </w:pPr>
    </w:p>
    <w:p w:rsidR="00FD0616" w:rsidRDefault="00FD0616" w:rsidP="00FD0616">
      <w:pPr>
        <w:spacing w:line="276" w:lineRule="auto"/>
        <w:rPr>
          <w:rFonts w:asciiTheme="majorHAnsi" w:hAnsiTheme="majorHAnsi" w:cs="Arial"/>
          <w:bCs/>
        </w:rPr>
      </w:pPr>
      <w:r>
        <w:rPr>
          <w:rFonts w:asciiTheme="majorHAnsi" w:hAnsiTheme="majorHAnsi" w:cs="Arial"/>
          <w:bCs/>
        </w:rPr>
        <w:t>This Determination (12/2016) replaces Determination 10/2016. Any inconsistencies between earlier Tribunal Determinations and Determination 12/2016 are resolved in favour of Determination 12/2016. Matters in earlier Determinations not addressed in this Determination are confirmed by the Tribunal and not amended.</w:t>
      </w:r>
    </w:p>
    <w:p w:rsidR="004527A2" w:rsidRDefault="004527A2" w:rsidP="00FD0616">
      <w:pPr>
        <w:spacing w:line="276" w:lineRule="auto"/>
        <w:rPr>
          <w:rFonts w:asciiTheme="majorHAnsi" w:hAnsiTheme="majorHAnsi" w:cs="Arial"/>
          <w:bCs/>
        </w:rPr>
      </w:pPr>
    </w:p>
    <w:p w:rsidR="00392842" w:rsidRDefault="007316BA" w:rsidP="007316BA">
      <w:pPr>
        <w:spacing w:line="276" w:lineRule="auto"/>
        <w:rPr>
          <w:rFonts w:asciiTheme="majorHAnsi" w:hAnsiTheme="majorHAnsi"/>
        </w:rPr>
      </w:pPr>
      <w:r>
        <w:rPr>
          <w:rFonts w:asciiTheme="majorHAnsi" w:hAnsiTheme="majorHAnsi"/>
        </w:rPr>
        <w:t>We determine that:</w:t>
      </w:r>
    </w:p>
    <w:p w:rsidR="007316BA" w:rsidRDefault="007316BA" w:rsidP="007316BA">
      <w:pPr>
        <w:pStyle w:val="ListParagraph"/>
        <w:numPr>
          <w:ilvl w:val="0"/>
          <w:numId w:val="4"/>
        </w:numPr>
        <w:spacing w:line="276" w:lineRule="auto"/>
        <w:rPr>
          <w:rFonts w:asciiTheme="majorHAnsi" w:hAnsiTheme="majorHAnsi"/>
        </w:rPr>
      </w:pPr>
      <w:r>
        <w:rPr>
          <w:rFonts w:asciiTheme="majorHAnsi" w:hAnsiTheme="majorHAnsi"/>
        </w:rPr>
        <w:t>The base salary of a member of the Legislative Assembly be increased by 2.25% per annum from 1 September 2015, and that the salary received by a member in accordance with Determination 10/2016 be offset against the salary increase established in Determination 12/2016.</w:t>
      </w:r>
    </w:p>
    <w:p w:rsidR="007316BA" w:rsidRDefault="007316BA" w:rsidP="007316BA">
      <w:pPr>
        <w:pStyle w:val="ListParagraph"/>
        <w:numPr>
          <w:ilvl w:val="0"/>
          <w:numId w:val="4"/>
        </w:numPr>
        <w:spacing w:line="276" w:lineRule="auto"/>
        <w:rPr>
          <w:rFonts w:asciiTheme="majorHAnsi" w:hAnsiTheme="majorHAnsi"/>
        </w:rPr>
      </w:pPr>
      <w:r>
        <w:rPr>
          <w:rFonts w:asciiTheme="majorHAnsi" w:hAnsiTheme="majorHAnsi"/>
        </w:rPr>
        <w:t>The base salary of a member increase by 2.25% from 1 September 2016.</w:t>
      </w:r>
    </w:p>
    <w:p w:rsidR="007316BA" w:rsidRDefault="007316BA" w:rsidP="007316BA">
      <w:pPr>
        <w:pStyle w:val="ListParagraph"/>
        <w:numPr>
          <w:ilvl w:val="0"/>
          <w:numId w:val="4"/>
        </w:numPr>
        <w:spacing w:line="276" w:lineRule="auto"/>
        <w:rPr>
          <w:rFonts w:asciiTheme="majorHAnsi" w:hAnsiTheme="majorHAnsi"/>
        </w:rPr>
      </w:pPr>
      <w:r>
        <w:rPr>
          <w:rFonts w:asciiTheme="majorHAnsi" w:hAnsiTheme="majorHAnsi"/>
        </w:rPr>
        <w:t>The base salary of a member increase by 2.25% from 1 September 2017.</w:t>
      </w:r>
    </w:p>
    <w:p w:rsidR="007316BA" w:rsidRDefault="007316BA" w:rsidP="007316BA">
      <w:pPr>
        <w:spacing w:line="276" w:lineRule="auto"/>
        <w:rPr>
          <w:rFonts w:asciiTheme="majorHAnsi" w:hAnsiTheme="majorHAnsi"/>
        </w:rPr>
      </w:pPr>
    </w:p>
    <w:p w:rsidR="002E772D" w:rsidRDefault="007316BA" w:rsidP="007316BA">
      <w:pPr>
        <w:spacing w:line="276" w:lineRule="auto"/>
        <w:rPr>
          <w:rFonts w:asciiTheme="majorHAnsi" w:hAnsiTheme="majorHAnsi"/>
        </w:rPr>
      </w:pPr>
      <w:r w:rsidRPr="00A33A90">
        <w:rPr>
          <w:rFonts w:asciiTheme="majorHAnsi" w:hAnsiTheme="majorHAnsi"/>
        </w:rPr>
        <w:t>The Tribunal further determines that the addition</w:t>
      </w:r>
      <w:r w:rsidR="002E772D" w:rsidRPr="00A33A90">
        <w:rPr>
          <w:rFonts w:asciiTheme="majorHAnsi" w:hAnsiTheme="majorHAnsi"/>
        </w:rPr>
        <w:t xml:space="preserve">al salary for the Office of the </w:t>
      </w:r>
      <w:r w:rsidRPr="00A33A90">
        <w:rPr>
          <w:rFonts w:asciiTheme="majorHAnsi" w:hAnsiTheme="majorHAnsi"/>
        </w:rPr>
        <w:t xml:space="preserve">Premier be increased by </w:t>
      </w:r>
      <w:r w:rsidR="00165CA1" w:rsidRPr="00A33A90">
        <w:rPr>
          <w:rFonts w:asciiTheme="majorHAnsi" w:hAnsiTheme="majorHAnsi"/>
        </w:rPr>
        <w:t>1.5%</w:t>
      </w:r>
      <w:r w:rsidRPr="00A33A90">
        <w:rPr>
          <w:rFonts w:asciiTheme="majorHAnsi" w:hAnsiTheme="majorHAnsi"/>
        </w:rPr>
        <w:t xml:space="preserve"> each year for three years, from 1 September 2015.</w:t>
      </w:r>
      <w:r w:rsidR="002E772D" w:rsidRPr="00A33A90">
        <w:rPr>
          <w:rFonts w:asciiTheme="majorHAnsi" w:hAnsiTheme="majorHAnsi"/>
        </w:rPr>
        <w:t xml:space="preserve"> </w:t>
      </w:r>
    </w:p>
    <w:p w:rsidR="002E772D" w:rsidRDefault="002E772D" w:rsidP="007316BA">
      <w:pPr>
        <w:spacing w:line="276" w:lineRule="auto"/>
        <w:rPr>
          <w:rFonts w:asciiTheme="majorHAnsi" w:hAnsiTheme="majorHAnsi"/>
        </w:rPr>
      </w:pPr>
    </w:p>
    <w:p w:rsidR="007316BA" w:rsidRDefault="007316BA" w:rsidP="007316BA">
      <w:pPr>
        <w:spacing w:line="276" w:lineRule="auto"/>
        <w:rPr>
          <w:rFonts w:asciiTheme="majorHAnsi" w:hAnsiTheme="majorHAnsi"/>
        </w:rPr>
      </w:pPr>
      <w:r>
        <w:rPr>
          <w:rFonts w:asciiTheme="majorHAnsi" w:hAnsiTheme="majorHAnsi"/>
        </w:rPr>
        <w:t>It is further determined that the relativity between office holders be as set out in earlier Determinations.</w:t>
      </w:r>
    </w:p>
    <w:p w:rsidR="00A33A90" w:rsidRDefault="00A33A90" w:rsidP="007316BA">
      <w:pPr>
        <w:spacing w:line="276" w:lineRule="auto"/>
        <w:rPr>
          <w:rFonts w:asciiTheme="majorHAnsi" w:hAnsiTheme="majorHAnsi"/>
        </w:rPr>
      </w:pPr>
    </w:p>
    <w:p w:rsidR="00A33A90" w:rsidRDefault="00A33A90" w:rsidP="007316BA">
      <w:pPr>
        <w:spacing w:line="276" w:lineRule="auto"/>
        <w:rPr>
          <w:rFonts w:asciiTheme="majorHAnsi" w:hAnsiTheme="majorHAnsi"/>
        </w:rPr>
      </w:pPr>
    </w:p>
    <w:p w:rsidR="00A33A90" w:rsidRPr="002E772D" w:rsidRDefault="00A33A90" w:rsidP="007316BA">
      <w:pPr>
        <w:spacing w:line="276" w:lineRule="auto"/>
        <w:rPr>
          <w:rFonts w:asciiTheme="majorHAnsi" w:hAnsiTheme="majorHAnsi"/>
          <w:highlight w:val="yellow"/>
        </w:rPr>
      </w:pPr>
    </w:p>
    <w:p w:rsidR="00A33A90" w:rsidRDefault="00A33A90" w:rsidP="007316BA">
      <w:pPr>
        <w:spacing w:line="276" w:lineRule="auto"/>
        <w:rPr>
          <w:rFonts w:asciiTheme="majorHAnsi" w:hAnsiTheme="majorHAnsi"/>
        </w:rPr>
      </w:pPr>
      <w:r>
        <w:rPr>
          <w:rFonts w:asciiTheme="majorHAnsi" w:hAnsiTheme="majorHAnsi"/>
          <w:noProof/>
          <w:lang w:eastAsia="en-AU"/>
        </w:rPr>
        <mc:AlternateContent>
          <mc:Choice Requires="wpg">
            <w:drawing>
              <wp:anchor distT="0" distB="0" distL="114300" distR="114300" simplePos="0" relativeHeight="251663360" behindDoc="0" locked="0" layoutInCell="1" allowOverlap="1" wp14:anchorId="1E091E34" wp14:editId="5ED86CAF">
                <wp:simplePos x="0" y="0"/>
                <wp:positionH relativeFrom="column">
                  <wp:posOffset>-86995</wp:posOffset>
                </wp:positionH>
                <wp:positionV relativeFrom="paragraph">
                  <wp:posOffset>254000</wp:posOffset>
                </wp:positionV>
                <wp:extent cx="5264150" cy="69342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5264150" cy="693420"/>
                          <a:chOff x="0" y="0"/>
                          <a:chExt cx="5264150" cy="693420"/>
                        </a:xfrm>
                      </wpg:grpSpPr>
                      <wps:wsp>
                        <wps:cNvPr id="217" name="Text Box 2"/>
                        <wps:cNvSpPr txBox="1">
                          <a:spLocks noChangeArrowheads="1"/>
                        </wps:cNvSpPr>
                        <wps:spPr bwMode="auto">
                          <a:xfrm>
                            <a:off x="0" y="0"/>
                            <a:ext cx="1822450" cy="693420"/>
                          </a:xfrm>
                          <a:prstGeom prst="rect">
                            <a:avLst/>
                          </a:prstGeom>
                          <a:solidFill>
                            <a:srgbClr val="FFFFFF"/>
                          </a:solidFill>
                          <a:ln w="9525">
                            <a:noFill/>
                            <a:miter lim="800000"/>
                            <a:headEnd/>
                            <a:tailEnd/>
                          </a:ln>
                        </wps:spPr>
                        <wps:txbx>
                          <w:txbxContent>
                            <w:p w:rsidR="00AC17F8" w:rsidRPr="00AC17F8" w:rsidRDefault="00AC17F8">
                              <w:pPr>
                                <w:rPr>
                                  <w:rFonts w:asciiTheme="majorHAnsi" w:hAnsiTheme="majorHAnsi"/>
                                </w:rPr>
                              </w:pPr>
                              <w:r w:rsidRPr="00AC17F8">
                                <w:rPr>
                                  <w:rFonts w:asciiTheme="majorHAnsi" w:hAnsiTheme="majorHAnsi"/>
                                </w:rPr>
                                <w:t>Professor Anne Tiernan</w:t>
                              </w:r>
                            </w:p>
                            <w:p w:rsidR="00AC17F8" w:rsidRPr="00AC17F8" w:rsidRDefault="00AC17F8">
                              <w:pPr>
                                <w:rPr>
                                  <w:rFonts w:asciiTheme="majorHAnsi" w:hAnsiTheme="majorHAnsi"/>
                                </w:rPr>
                              </w:pPr>
                              <w:r w:rsidRPr="00AC17F8">
                                <w:rPr>
                                  <w:rFonts w:asciiTheme="majorHAnsi" w:hAnsiTheme="majorHAnsi"/>
                                </w:rPr>
                                <w:t>Chairperson</w:t>
                              </w:r>
                            </w:p>
                          </w:txbxContent>
                        </wps:txbx>
                        <wps:bodyPr rot="0" vert="horz" wrap="square" lIns="91440" tIns="45720" rIns="91440" bIns="45720" anchor="t" anchorCtr="0">
                          <a:noAutofit/>
                        </wps:bodyPr>
                      </wps:wsp>
                      <wps:wsp>
                        <wps:cNvPr id="1" name="Text Box 2"/>
                        <wps:cNvSpPr txBox="1">
                          <a:spLocks noChangeArrowheads="1"/>
                        </wps:cNvSpPr>
                        <wps:spPr bwMode="auto">
                          <a:xfrm>
                            <a:off x="1739900" y="0"/>
                            <a:ext cx="1822450" cy="693420"/>
                          </a:xfrm>
                          <a:prstGeom prst="rect">
                            <a:avLst/>
                          </a:prstGeom>
                          <a:solidFill>
                            <a:srgbClr val="FFFFFF"/>
                          </a:solidFill>
                          <a:ln w="9525">
                            <a:noFill/>
                            <a:miter lim="800000"/>
                            <a:headEnd/>
                            <a:tailEnd/>
                          </a:ln>
                        </wps:spPr>
                        <wps:txbx>
                          <w:txbxContent>
                            <w:p w:rsidR="00A33A90" w:rsidRDefault="00A33A90" w:rsidP="00A33A90">
                              <w:pPr>
                                <w:rPr>
                                  <w:rFonts w:asciiTheme="majorHAnsi" w:hAnsiTheme="majorHAnsi"/>
                                </w:rPr>
                              </w:pPr>
                              <w:r>
                                <w:rPr>
                                  <w:rFonts w:asciiTheme="majorHAnsi" w:hAnsiTheme="majorHAnsi"/>
                                </w:rPr>
                                <w:t>Mr Michael Noud</w:t>
                              </w:r>
                            </w:p>
                            <w:p w:rsidR="00A33A90" w:rsidRPr="00AC17F8" w:rsidRDefault="00A33A90" w:rsidP="00A33A90">
                              <w:pPr>
                                <w:rPr>
                                  <w:rFonts w:asciiTheme="majorHAnsi" w:hAnsiTheme="majorHAnsi"/>
                                </w:rPr>
                              </w:pPr>
                              <w:r>
                                <w:rPr>
                                  <w:rFonts w:asciiTheme="majorHAnsi" w:hAnsiTheme="majorHAnsi"/>
                                </w:rPr>
                                <w:t xml:space="preserve">Member </w:t>
                              </w:r>
                            </w:p>
                          </w:txbxContent>
                        </wps:txbx>
                        <wps:bodyPr rot="0" vert="horz" wrap="square" lIns="91440" tIns="45720" rIns="91440" bIns="45720" anchor="t" anchorCtr="0">
                          <a:noAutofit/>
                        </wps:bodyPr>
                      </wps:wsp>
                      <wps:wsp>
                        <wps:cNvPr id="3" name="Text Box 2"/>
                        <wps:cNvSpPr txBox="1">
                          <a:spLocks noChangeArrowheads="1"/>
                        </wps:cNvSpPr>
                        <wps:spPr bwMode="auto">
                          <a:xfrm>
                            <a:off x="3441700" y="0"/>
                            <a:ext cx="1822450" cy="693420"/>
                          </a:xfrm>
                          <a:prstGeom prst="rect">
                            <a:avLst/>
                          </a:prstGeom>
                          <a:solidFill>
                            <a:srgbClr val="FFFFFF"/>
                          </a:solidFill>
                          <a:ln w="9525">
                            <a:noFill/>
                            <a:miter lim="800000"/>
                            <a:headEnd/>
                            <a:tailEnd/>
                          </a:ln>
                        </wps:spPr>
                        <wps:txbx>
                          <w:txbxContent>
                            <w:p w:rsidR="00A33A90" w:rsidRDefault="00A33A90" w:rsidP="00A33A90">
                              <w:pPr>
                                <w:rPr>
                                  <w:rFonts w:asciiTheme="majorHAnsi" w:hAnsiTheme="majorHAnsi"/>
                                </w:rPr>
                              </w:pPr>
                              <w:r>
                                <w:rPr>
                                  <w:rFonts w:asciiTheme="majorHAnsi" w:hAnsiTheme="majorHAnsi"/>
                                </w:rPr>
                                <w:t xml:space="preserve">Ms </w:t>
                              </w:r>
                              <w:proofErr w:type="spellStart"/>
                              <w:r>
                                <w:rPr>
                                  <w:rFonts w:asciiTheme="majorHAnsi" w:hAnsiTheme="majorHAnsi"/>
                                </w:rPr>
                                <w:t>Karyn</w:t>
                              </w:r>
                              <w:proofErr w:type="spellEnd"/>
                              <w:r>
                                <w:rPr>
                                  <w:rFonts w:asciiTheme="majorHAnsi" w:hAnsiTheme="majorHAnsi"/>
                                </w:rPr>
                                <w:t xml:space="preserve"> Walsh</w:t>
                              </w:r>
                            </w:p>
                            <w:p w:rsidR="00A33A90" w:rsidRPr="00AC17F8" w:rsidRDefault="00A33A90" w:rsidP="00A33A90">
                              <w:pPr>
                                <w:rPr>
                                  <w:rFonts w:asciiTheme="majorHAnsi" w:hAnsiTheme="majorHAnsi"/>
                                </w:rPr>
                              </w:pPr>
                              <w:r>
                                <w:rPr>
                                  <w:rFonts w:asciiTheme="majorHAnsi" w:hAnsiTheme="majorHAnsi"/>
                                </w:rPr>
                                <w:t xml:space="preserve">Member </w:t>
                              </w:r>
                            </w:p>
                          </w:txbxContent>
                        </wps:txbx>
                        <wps:bodyPr rot="0" vert="horz" wrap="square" lIns="91440" tIns="45720" rIns="91440" bIns="45720" anchor="t" anchorCtr="0">
                          <a:noAutofit/>
                        </wps:bodyPr>
                      </wps:wsp>
                    </wpg:wgp>
                  </a:graphicData>
                </a:graphic>
              </wp:anchor>
            </w:drawing>
          </mc:Choice>
          <mc:Fallback>
            <w:pict>
              <v:group w14:anchorId="1E091E34" id="Group 4" o:spid="_x0000_s1026" style="position:absolute;margin-left:-6.85pt;margin-top:20pt;width:414.5pt;height:54.6pt;z-index:251663360" coordsize="52641,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">
                <v:shapetype id="_x0000_t202" coordsize="21600,21600" o:spt="202" path="m,l,21600r21600,l21600,xe">
                  <v:stroke joinstyle="miter"/>
                  <v:path gradientshapeok="t" o:connecttype="rect"/>
                </v:shapetype>
                <v:shape id="Text Box 2" o:spid="_x0000_s1027" type="#_x0000_t202" style="position:absolute;width:18224;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AC17F8" w:rsidRPr="00AC17F8" w:rsidRDefault="00AC17F8">
                        <w:pPr>
                          <w:rPr>
                            <w:rFonts w:asciiTheme="majorHAnsi" w:hAnsiTheme="majorHAnsi"/>
                          </w:rPr>
                        </w:pPr>
                        <w:r w:rsidRPr="00AC17F8">
                          <w:rPr>
                            <w:rFonts w:asciiTheme="majorHAnsi" w:hAnsiTheme="majorHAnsi"/>
                          </w:rPr>
                          <w:t>Professor Anne Tiernan</w:t>
                        </w:r>
                      </w:p>
                      <w:p w:rsidR="00AC17F8" w:rsidRPr="00AC17F8" w:rsidRDefault="00AC17F8">
                        <w:pPr>
                          <w:rPr>
                            <w:rFonts w:asciiTheme="majorHAnsi" w:hAnsiTheme="majorHAnsi"/>
                          </w:rPr>
                        </w:pPr>
                        <w:r w:rsidRPr="00AC17F8">
                          <w:rPr>
                            <w:rFonts w:asciiTheme="majorHAnsi" w:hAnsiTheme="majorHAnsi"/>
                          </w:rPr>
                          <w:t>Chairperson</w:t>
                        </w:r>
                      </w:p>
                    </w:txbxContent>
                  </v:textbox>
                </v:shape>
                <v:shape id="Text Box 2" o:spid="_x0000_s1028" type="#_x0000_t202" style="position:absolute;left:17399;width:18224;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A33A90" w:rsidRDefault="00A33A90" w:rsidP="00A33A90">
                        <w:pPr>
                          <w:rPr>
                            <w:rFonts w:asciiTheme="majorHAnsi" w:hAnsiTheme="majorHAnsi"/>
                          </w:rPr>
                        </w:pPr>
                        <w:r>
                          <w:rPr>
                            <w:rFonts w:asciiTheme="majorHAnsi" w:hAnsiTheme="majorHAnsi"/>
                          </w:rPr>
                          <w:t>Mr Michael Noud</w:t>
                        </w:r>
                      </w:p>
                      <w:p w:rsidR="00A33A90" w:rsidRPr="00AC17F8" w:rsidRDefault="00A33A90" w:rsidP="00A33A90">
                        <w:pPr>
                          <w:rPr>
                            <w:rFonts w:asciiTheme="majorHAnsi" w:hAnsiTheme="majorHAnsi"/>
                          </w:rPr>
                        </w:pPr>
                        <w:r>
                          <w:rPr>
                            <w:rFonts w:asciiTheme="majorHAnsi" w:hAnsiTheme="majorHAnsi"/>
                          </w:rPr>
                          <w:t xml:space="preserve">Member </w:t>
                        </w:r>
                      </w:p>
                    </w:txbxContent>
                  </v:textbox>
                </v:shape>
                <v:shape id="Text Box 2" o:spid="_x0000_s1029" type="#_x0000_t202" style="position:absolute;left:34417;width:18224;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33A90" w:rsidRDefault="00A33A90" w:rsidP="00A33A90">
                        <w:pPr>
                          <w:rPr>
                            <w:rFonts w:asciiTheme="majorHAnsi" w:hAnsiTheme="majorHAnsi"/>
                          </w:rPr>
                        </w:pPr>
                        <w:r>
                          <w:rPr>
                            <w:rFonts w:asciiTheme="majorHAnsi" w:hAnsiTheme="majorHAnsi"/>
                          </w:rPr>
                          <w:t xml:space="preserve">Ms </w:t>
                        </w:r>
                        <w:proofErr w:type="spellStart"/>
                        <w:r>
                          <w:rPr>
                            <w:rFonts w:asciiTheme="majorHAnsi" w:hAnsiTheme="majorHAnsi"/>
                          </w:rPr>
                          <w:t>Karyn</w:t>
                        </w:r>
                        <w:proofErr w:type="spellEnd"/>
                        <w:r>
                          <w:rPr>
                            <w:rFonts w:asciiTheme="majorHAnsi" w:hAnsiTheme="majorHAnsi"/>
                          </w:rPr>
                          <w:t xml:space="preserve"> Walsh</w:t>
                        </w:r>
                      </w:p>
                      <w:p w:rsidR="00A33A90" w:rsidRPr="00AC17F8" w:rsidRDefault="00A33A90" w:rsidP="00A33A90">
                        <w:pPr>
                          <w:rPr>
                            <w:rFonts w:asciiTheme="majorHAnsi" w:hAnsiTheme="majorHAnsi"/>
                          </w:rPr>
                        </w:pPr>
                        <w:r>
                          <w:rPr>
                            <w:rFonts w:asciiTheme="majorHAnsi" w:hAnsiTheme="majorHAnsi"/>
                          </w:rPr>
                          <w:t xml:space="preserve">Member </w:t>
                        </w:r>
                      </w:p>
                    </w:txbxContent>
                  </v:textbox>
                </v:shape>
                <w10:wrap type="square"/>
              </v:group>
            </w:pict>
          </mc:Fallback>
        </mc:AlternateContent>
      </w:r>
    </w:p>
    <w:p w:rsidR="00A33A90" w:rsidRDefault="00A33A90" w:rsidP="007316BA">
      <w:pPr>
        <w:spacing w:line="276" w:lineRule="auto"/>
        <w:rPr>
          <w:rFonts w:asciiTheme="majorHAnsi" w:hAnsiTheme="majorHAnsi"/>
        </w:rPr>
      </w:pPr>
    </w:p>
    <w:p w:rsidR="00A33A90" w:rsidRDefault="00A33A90" w:rsidP="00A33A90">
      <w:pPr>
        <w:spacing w:line="276" w:lineRule="auto"/>
        <w:rPr>
          <w:rFonts w:asciiTheme="majorHAnsi" w:eastAsiaTheme="majorEastAsia" w:hAnsiTheme="majorHAnsi" w:cstheme="majorBidi"/>
          <w:bCs/>
          <w:sz w:val="26"/>
          <w:szCs w:val="26"/>
        </w:rPr>
      </w:pPr>
    </w:p>
    <w:p w:rsidR="00A33A90" w:rsidRDefault="00A33A90" w:rsidP="00A33A90">
      <w:pPr>
        <w:spacing w:line="276" w:lineRule="auto"/>
        <w:rPr>
          <w:rFonts w:asciiTheme="majorHAnsi" w:hAnsiTheme="majorHAnsi"/>
        </w:rPr>
      </w:pPr>
      <w:r w:rsidRPr="00A33A90">
        <w:rPr>
          <w:rFonts w:asciiTheme="majorHAnsi" w:eastAsiaTheme="majorEastAsia" w:hAnsiTheme="majorHAnsi" w:cstheme="majorBidi"/>
          <w:bCs/>
          <w:sz w:val="26"/>
          <w:szCs w:val="26"/>
        </w:rPr>
        <w:t>Date of Determination:</w:t>
      </w:r>
      <w:r w:rsidRPr="00A33A90">
        <w:rPr>
          <w:rFonts w:asciiTheme="majorHAnsi" w:hAnsiTheme="majorHAnsi"/>
        </w:rPr>
        <w:t xml:space="preserve"> </w:t>
      </w:r>
      <w:r>
        <w:rPr>
          <w:rFonts w:asciiTheme="majorHAnsi" w:hAnsiTheme="majorHAnsi"/>
        </w:rPr>
        <w:t>29 August 2016</w:t>
      </w:r>
    </w:p>
    <w:p w:rsidR="0085560B" w:rsidRDefault="0085560B" w:rsidP="007316BA">
      <w:pPr>
        <w:spacing w:line="276" w:lineRule="auto"/>
        <w:rPr>
          <w:rFonts w:asciiTheme="majorHAnsi" w:hAnsiTheme="majorHAnsi"/>
        </w:rPr>
      </w:pPr>
      <w:bookmarkStart w:id="0" w:name="_GoBack"/>
      <w:bookmarkEnd w:id="0"/>
    </w:p>
    <w:p w:rsidR="0085560B" w:rsidRDefault="0085560B" w:rsidP="007316BA">
      <w:pPr>
        <w:spacing w:line="276" w:lineRule="auto"/>
        <w:rPr>
          <w:rFonts w:asciiTheme="majorHAnsi" w:hAnsiTheme="majorHAnsi"/>
        </w:rPr>
      </w:pPr>
      <w:r>
        <w:rPr>
          <w:rFonts w:asciiTheme="majorHAnsi" w:hAnsiTheme="majorHAnsi"/>
        </w:rPr>
        <w:br w:type="page"/>
      </w:r>
    </w:p>
    <w:p w:rsidR="0085560B" w:rsidRDefault="0085560B" w:rsidP="0085560B">
      <w:pPr>
        <w:pStyle w:val="Heading2"/>
      </w:pPr>
      <w:r>
        <w:lastRenderedPageBreak/>
        <w:t xml:space="preserve">Appendices </w:t>
      </w:r>
    </w:p>
    <w:p w:rsidR="0085560B" w:rsidRDefault="0085560B" w:rsidP="0085560B"/>
    <w:p w:rsidR="0085560B" w:rsidRDefault="0085560B" w:rsidP="0085560B">
      <w:pPr>
        <w:rPr>
          <w:rFonts w:asciiTheme="majorHAnsi" w:eastAsiaTheme="majorEastAsia" w:hAnsiTheme="majorHAnsi" w:cstheme="majorBidi"/>
          <w:bCs/>
          <w:color w:val="4F81BD" w:themeColor="accent1"/>
          <w:sz w:val="26"/>
          <w:szCs w:val="26"/>
        </w:rPr>
      </w:pPr>
      <w:r w:rsidRPr="0085560B">
        <w:rPr>
          <w:rFonts w:asciiTheme="majorHAnsi" w:eastAsiaTheme="majorEastAsia" w:hAnsiTheme="majorHAnsi" w:cstheme="majorBidi"/>
          <w:bCs/>
          <w:color w:val="4F81BD" w:themeColor="accent1"/>
          <w:sz w:val="26"/>
          <w:szCs w:val="26"/>
        </w:rPr>
        <w:t xml:space="preserve">Appendix 1: Comparison </w:t>
      </w:r>
      <w:r>
        <w:rPr>
          <w:rFonts w:asciiTheme="majorHAnsi" w:eastAsiaTheme="majorEastAsia" w:hAnsiTheme="majorHAnsi" w:cstheme="majorBidi"/>
          <w:bCs/>
          <w:color w:val="4F81BD" w:themeColor="accent1"/>
          <w:sz w:val="26"/>
          <w:szCs w:val="26"/>
        </w:rPr>
        <w:t xml:space="preserve">of base salary across Australia </w:t>
      </w:r>
    </w:p>
    <w:tbl>
      <w:tblPr>
        <w:tblpPr w:leftFromText="180" w:rightFromText="180" w:vertAnchor="text" w:horzAnchor="margin" w:tblpY="288"/>
        <w:tblW w:w="9639" w:type="dxa"/>
        <w:tblCellMar>
          <w:left w:w="0" w:type="dxa"/>
          <w:right w:w="0" w:type="dxa"/>
        </w:tblCellMar>
        <w:tblLook w:val="04A0" w:firstRow="1" w:lastRow="0" w:firstColumn="1" w:lastColumn="0" w:noHBand="0" w:noVBand="1"/>
      </w:tblPr>
      <w:tblGrid>
        <w:gridCol w:w="3686"/>
        <w:gridCol w:w="2410"/>
        <w:gridCol w:w="2126"/>
        <w:gridCol w:w="1417"/>
      </w:tblGrid>
      <w:tr w:rsidR="0085560B" w:rsidRPr="00BD4CE4" w:rsidTr="0085560B">
        <w:tc>
          <w:tcPr>
            <w:tcW w:w="3686" w:type="dxa"/>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vAlign w:val="center"/>
            <w:hideMark/>
          </w:tcPr>
          <w:p w:rsidR="0085560B" w:rsidRPr="00BD4CE4" w:rsidRDefault="0085560B" w:rsidP="0085560B">
            <w:pPr>
              <w:spacing w:before="120" w:after="120" w:line="360" w:lineRule="auto"/>
              <w:rPr>
                <w:rFonts w:ascii="Arial" w:eastAsia="SimSun" w:hAnsi="Arial" w:cs="Arial"/>
                <w:b/>
                <w:bCs/>
                <w:sz w:val="20"/>
                <w:szCs w:val="20"/>
              </w:rPr>
            </w:pPr>
            <w:r w:rsidRPr="00BD4CE4">
              <w:rPr>
                <w:rFonts w:ascii="Arial" w:hAnsi="Arial" w:cs="Arial"/>
                <w:b/>
                <w:bCs/>
                <w:sz w:val="20"/>
                <w:szCs w:val="20"/>
              </w:rPr>
              <w:t>Jurisdiction</w:t>
            </w:r>
          </w:p>
        </w:tc>
        <w:tc>
          <w:tcPr>
            <w:tcW w:w="2410"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85560B" w:rsidRPr="00BD4CE4" w:rsidRDefault="0085560B" w:rsidP="0085560B">
            <w:pPr>
              <w:spacing w:before="120" w:after="120"/>
              <w:jc w:val="center"/>
              <w:rPr>
                <w:rFonts w:ascii="Arial" w:eastAsia="SimSun" w:hAnsi="Arial" w:cs="Arial"/>
                <w:b/>
                <w:bCs/>
                <w:sz w:val="20"/>
                <w:szCs w:val="20"/>
              </w:rPr>
            </w:pPr>
            <w:r w:rsidRPr="00BD4CE4">
              <w:rPr>
                <w:rFonts w:ascii="Arial" w:hAnsi="Arial" w:cs="Arial"/>
                <w:b/>
                <w:bCs/>
                <w:sz w:val="20"/>
                <w:szCs w:val="20"/>
              </w:rPr>
              <w:t xml:space="preserve">Annual base salary </w:t>
            </w:r>
          </w:p>
          <w:p w:rsidR="0085560B" w:rsidRPr="00BD4CE4" w:rsidRDefault="0085560B" w:rsidP="0085560B">
            <w:pPr>
              <w:spacing w:before="120" w:after="120"/>
              <w:jc w:val="center"/>
              <w:rPr>
                <w:rFonts w:ascii="Arial" w:eastAsia="SimSun" w:hAnsi="Arial" w:cs="Arial"/>
                <w:sz w:val="20"/>
                <w:szCs w:val="20"/>
              </w:rPr>
            </w:pPr>
            <w:r w:rsidRPr="00BD4CE4">
              <w:rPr>
                <w:rFonts w:ascii="Arial" w:hAnsi="Arial" w:cs="Arial"/>
                <w:sz w:val="20"/>
                <w:szCs w:val="20"/>
              </w:rPr>
              <w:t>as at 1 July 2013</w:t>
            </w:r>
          </w:p>
        </w:tc>
        <w:tc>
          <w:tcPr>
            <w:tcW w:w="2126"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vAlign w:val="center"/>
            <w:hideMark/>
          </w:tcPr>
          <w:p w:rsidR="0085560B" w:rsidRPr="00BD4CE4" w:rsidRDefault="0085560B" w:rsidP="0085560B">
            <w:pPr>
              <w:spacing w:before="120" w:after="120"/>
              <w:jc w:val="center"/>
              <w:rPr>
                <w:rFonts w:ascii="Arial" w:eastAsia="SimSun" w:hAnsi="Arial" w:cs="Arial"/>
                <w:b/>
                <w:bCs/>
                <w:sz w:val="20"/>
                <w:szCs w:val="20"/>
              </w:rPr>
            </w:pPr>
            <w:r w:rsidRPr="00BD4CE4">
              <w:rPr>
                <w:rFonts w:ascii="Arial" w:hAnsi="Arial" w:cs="Arial"/>
                <w:b/>
                <w:bCs/>
                <w:sz w:val="20"/>
                <w:szCs w:val="20"/>
              </w:rPr>
              <w:t xml:space="preserve">Annual base salary </w:t>
            </w:r>
          </w:p>
          <w:p w:rsidR="0085560B" w:rsidRPr="00BD4CE4" w:rsidRDefault="0085560B" w:rsidP="0085560B">
            <w:pPr>
              <w:spacing w:before="120" w:after="120"/>
              <w:jc w:val="center"/>
              <w:rPr>
                <w:rFonts w:ascii="Arial" w:eastAsia="SimSun" w:hAnsi="Arial" w:cs="Arial"/>
                <w:sz w:val="20"/>
                <w:szCs w:val="20"/>
              </w:rPr>
            </w:pPr>
            <w:r w:rsidRPr="00BD4CE4">
              <w:rPr>
                <w:rFonts w:ascii="Arial" w:hAnsi="Arial" w:cs="Arial"/>
                <w:sz w:val="20"/>
                <w:szCs w:val="20"/>
              </w:rPr>
              <w:t>as at 1 July 2016</w:t>
            </w:r>
          </w:p>
        </w:tc>
        <w:tc>
          <w:tcPr>
            <w:tcW w:w="1417"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rsidR="0085560B" w:rsidRPr="00BD4CE4" w:rsidRDefault="0085560B" w:rsidP="0085560B">
            <w:pPr>
              <w:spacing w:before="120" w:after="120"/>
              <w:jc w:val="center"/>
              <w:rPr>
                <w:rFonts w:ascii="Arial" w:eastAsia="SimSun" w:hAnsi="Arial" w:cs="Arial"/>
                <w:b/>
                <w:bCs/>
                <w:sz w:val="20"/>
                <w:szCs w:val="20"/>
              </w:rPr>
            </w:pPr>
            <w:r w:rsidRPr="00BD4CE4">
              <w:rPr>
                <w:rFonts w:ascii="Arial" w:hAnsi="Arial" w:cs="Arial"/>
                <w:b/>
                <w:bCs/>
                <w:sz w:val="20"/>
                <w:szCs w:val="20"/>
              </w:rPr>
              <w:t>% total increase</w:t>
            </w:r>
          </w:p>
        </w:tc>
      </w:tr>
      <w:tr w:rsidR="0085560B" w:rsidRPr="00BD4CE4" w:rsidTr="0085560B">
        <w:trPr>
          <w:trHeight w:val="397"/>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rPr>
                <w:rFonts w:ascii="Arial" w:eastAsia="SimSun" w:hAnsi="Arial" w:cs="Arial"/>
                <w:sz w:val="20"/>
                <w:szCs w:val="20"/>
              </w:rPr>
            </w:pPr>
            <w:r w:rsidRPr="00BD4CE4">
              <w:rPr>
                <w:rFonts w:ascii="Arial" w:hAnsi="Arial" w:cs="Arial"/>
                <w:sz w:val="20"/>
                <w:szCs w:val="20"/>
              </w:rPr>
              <w:t>New South Wales</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jc w:val="center"/>
              <w:rPr>
                <w:rFonts w:ascii="Arial" w:eastAsia="SimSun" w:hAnsi="Arial" w:cs="Arial"/>
                <w:sz w:val="20"/>
                <w:szCs w:val="20"/>
              </w:rPr>
            </w:pPr>
            <w:r w:rsidRPr="00BD4CE4">
              <w:rPr>
                <w:rFonts w:ascii="Arial" w:hAnsi="Arial" w:cs="Arial"/>
                <w:sz w:val="20"/>
                <w:szCs w:val="20"/>
              </w:rPr>
              <w:t>$146,251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$157,112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7.43%</w:t>
            </w:r>
          </w:p>
        </w:tc>
      </w:tr>
      <w:tr w:rsidR="0085560B" w:rsidRPr="00BD4CE4" w:rsidTr="0085560B">
        <w:trPr>
          <w:trHeight w:val="397"/>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rPr>
                <w:rFonts w:ascii="Arial" w:eastAsia="SimSun" w:hAnsi="Arial" w:cs="Arial"/>
                <w:sz w:val="20"/>
                <w:szCs w:val="20"/>
              </w:rPr>
            </w:pPr>
            <w:r w:rsidRPr="00BD4CE4">
              <w:rPr>
                <w:rFonts w:ascii="Arial" w:hAnsi="Arial" w:cs="Arial"/>
                <w:sz w:val="20"/>
                <w:szCs w:val="20"/>
              </w:rPr>
              <w:t>South Australia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jc w:val="center"/>
              <w:rPr>
                <w:rFonts w:ascii="Arial" w:eastAsia="SimSun" w:hAnsi="Arial" w:cs="Arial"/>
                <w:sz w:val="20"/>
                <w:szCs w:val="20"/>
              </w:rPr>
            </w:pPr>
            <w:r w:rsidRPr="00BD4CE4">
              <w:rPr>
                <w:rFonts w:ascii="Arial" w:hAnsi="Arial" w:cs="Arial"/>
                <w:sz w:val="20"/>
                <w:szCs w:val="20"/>
              </w:rPr>
              <w:t>$153,130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$157,040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2.55%</w:t>
            </w:r>
          </w:p>
        </w:tc>
      </w:tr>
      <w:tr w:rsidR="0085560B" w:rsidRPr="00BD4CE4" w:rsidTr="0085560B">
        <w:trPr>
          <w:trHeight w:val="397"/>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rPr>
                <w:rFonts w:ascii="Arial" w:eastAsia="SimSun" w:hAnsi="Arial" w:cs="Arial"/>
                <w:sz w:val="20"/>
                <w:szCs w:val="20"/>
              </w:rPr>
            </w:pPr>
            <w:r w:rsidRPr="00BD4CE4">
              <w:rPr>
                <w:rFonts w:ascii="Arial" w:hAnsi="Arial" w:cs="Arial"/>
                <w:sz w:val="20"/>
                <w:szCs w:val="20"/>
              </w:rPr>
              <w:t>Western Australia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jc w:val="center"/>
              <w:rPr>
                <w:rFonts w:ascii="Arial" w:eastAsia="SimSun" w:hAnsi="Arial" w:cs="Arial"/>
                <w:sz w:val="20"/>
                <w:szCs w:val="20"/>
              </w:rPr>
            </w:pPr>
            <w:r w:rsidRPr="00BD4CE4">
              <w:rPr>
                <w:rFonts w:ascii="Arial" w:hAnsi="Arial" w:cs="Arial"/>
                <w:sz w:val="20"/>
                <w:szCs w:val="20"/>
              </w:rPr>
              <w:t>$148,638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$156,536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5.31%</w:t>
            </w:r>
          </w:p>
        </w:tc>
      </w:tr>
      <w:tr w:rsidR="0085560B" w:rsidRPr="00BD4CE4" w:rsidTr="0085560B">
        <w:trPr>
          <w:trHeight w:val="397"/>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rPr>
                <w:rFonts w:ascii="Arial" w:eastAsia="SimSun" w:hAnsi="Arial" w:cs="Arial"/>
                <w:sz w:val="20"/>
                <w:szCs w:val="20"/>
              </w:rPr>
            </w:pPr>
            <w:r w:rsidRPr="00BD4CE4">
              <w:rPr>
                <w:rFonts w:ascii="Arial" w:hAnsi="Arial" w:cs="Arial"/>
                <w:sz w:val="20"/>
                <w:szCs w:val="20"/>
              </w:rPr>
              <w:t>Northern Territory</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jc w:val="center"/>
              <w:rPr>
                <w:rFonts w:ascii="Arial" w:eastAsia="SimSun" w:hAnsi="Arial" w:cs="Arial"/>
                <w:sz w:val="20"/>
                <w:szCs w:val="20"/>
              </w:rPr>
            </w:pPr>
            <w:r w:rsidRPr="00BD4CE4">
              <w:rPr>
                <w:rFonts w:ascii="Arial" w:hAnsi="Arial" w:cs="Arial"/>
                <w:sz w:val="20"/>
                <w:szCs w:val="20"/>
              </w:rPr>
              <w:t>$143,122</w:t>
            </w:r>
            <w:r>
              <w:rPr>
                <w:rStyle w:val="FootnoteReference"/>
                <w:rFonts w:ascii="Arial" w:hAnsi="Arial" w:cs="Arial"/>
                <w:sz w:val="20"/>
                <w:szCs w:val="20"/>
              </w:rPr>
              <w:footnoteReference w:id="8"/>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$153,312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7.12%</w:t>
            </w:r>
          </w:p>
        </w:tc>
      </w:tr>
      <w:tr w:rsidR="0085560B" w:rsidRPr="00BD4CE4" w:rsidTr="0085560B">
        <w:trPr>
          <w:trHeight w:val="397"/>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rPr>
                <w:rFonts w:ascii="Arial" w:eastAsia="SimSun" w:hAnsi="Arial" w:cs="Arial"/>
                <w:sz w:val="20"/>
                <w:szCs w:val="20"/>
              </w:rPr>
            </w:pPr>
            <w:r w:rsidRPr="00BD4CE4">
              <w:rPr>
                <w:rFonts w:ascii="Arial" w:hAnsi="Arial" w:cs="Arial"/>
                <w:sz w:val="20"/>
                <w:szCs w:val="20"/>
              </w:rPr>
              <w:t xml:space="preserve">Queensland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jc w:val="center"/>
              <w:rPr>
                <w:rFonts w:ascii="Arial" w:eastAsia="SimSun" w:hAnsi="Arial" w:cs="Arial"/>
                <w:sz w:val="20"/>
                <w:szCs w:val="20"/>
              </w:rPr>
            </w:pPr>
            <w:r w:rsidRPr="00BD4CE4">
              <w:rPr>
                <w:rFonts w:ascii="Arial" w:hAnsi="Arial" w:cs="Arial"/>
                <w:sz w:val="20"/>
                <w:szCs w:val="20"/>
              </w:rPr>
              <w:t>$144,485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$151,425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4.80%</w:t>
            </w:r>
          </w:p>
        </w:tc>
      </w:tr>
      <w:tr w:rsidR="0085560B" w:rsidRPr="00BD4CE4" w:rsidTr="0085560B">
        <w:trPr>
          <w:trHeight w:val="397"/>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rPr>
                <w:rFonts w:ascii="Arial" w:eastAsia="SimSun" w:hAnsi="Arial" w:cs="Arial"/>
                <w:sz w:val="20"/>
                <w:szCs w:val="20"/>
              </w:rPr>
            </w:pPr>
            <w:r w:rsidRPr="00BD4CE4">
              <w:rPr>
                <w:rFonts w:ascii="Arial" w:hAnsi="Arial" w:cs="Arial"/>
                <w:sz w:val="20"/>
                <w:szCs w:val="20"/>
              </w:rPr>
              <w:t>Victoria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spacing w:line="360" w:lineRule="auto"/>
              <w:jc w:val="center"/>
              <w:rPr>
                <w:rFonts w:ascii="Arial" w:eastAsia="SimSun" w:hAnsi="Arial" w:cs="Arial"/>
                <w:sz w:val="20"/>
                <w:szCs w:val="20"/>
              </w:rPr>
            </w:pPr>
            <w:r w:rsidRPr="00BD4CE4">
              <w:rPr>
                <w:rFonts w:ascii="Arial" w:hAnsi="Arial" w:cs="Arial"/>
                <w:sz w:val="20"/>
                <w:szCs w:val="20"/>
              </w:rPr>
              <w:t>$140,973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highlight w:val="yellow"/>
              </w:rPr>
            </w:pPr>
            <w:r w:rsidRPr="00BD4CE4">
              <w:rPr>
                <w:rFonts w:ascii="Arial" w:hAnsi="Arial" w:cs="Arial"/>
                <w:color w:val="000000"/>
                <w:sz w:val="20"/>
                <w:szCs w:val="20"/>
              </w:rPr>
              <w:t>$148,210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5.13%</w:t>
            </w:r>
          </w:p>
        </w:tc>
      </w:tr>
      <w:tr w:rsidR="0085560B" w:rsidRPr="00BD4CE4" w:rsidTr="0085560B">
        <w:trPr>
          <w:trHeight w:val="397"/>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60B" w:rsidRPr="00BD4CE4" w:rsidRDefault="0085560B" w:rsidP="0085560B">
            <w:pPr>
              <w:spacing w:line="360" w:lineRule="auto"/>
              <w:rPr>
                <w:rFonts w:ascii="Arial" w:eastAsia="SimSun" w:hAnsi="Arial" w:cs="Arial"/>
                <w:sz w:val="20"/>
                <w:szCs w:val="20"/>
              </w:rPr>
            </w:pPr>
            <w:r w:rsidRPr="00BD4CE4">
              <w:rPr>
                <w:rFonts w:ascii="Arial" w:hAnsi="Arial" w:cs="Arial"/>
                <w:sz w:val="20"/>
                <w:szCs w:val="20"/>
              </w:rPr>
              <w:t>Australian Capital Territory</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60B" w:rsidRPr="00BD4CE4" w:rsidRDefault="0085560B" w:rsidP="0085560B">
            <w:pPr>
              <w:spacing w:line="360" w:lineRule="auto"/>
              <w:jc w:val="center"/>
              <w:rPr>
                <w:rFonts w:ascii="Arial" w:eastAsia="SimSun" w:hAnsi="Arial" w:cs="Arial"/>
                <w:sz w:val="20"/>
                <w:szCs w:val="20"/>
              </w:rPr>
            </w:pPr>
            <w:r w:rsidRPr="00BD4CE4">
              <w:rPr>
                <w:rFonts w:ascii="Arial" w:hAnsi="Arial" w:cs="Arial"/>
                <w:sz w:val="20"/>
                <w:szCs w:val="20"/>
              </w:rPr>
              <w:t>$125,259</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$142,228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60B" w:rsidRPr="00BD4CE4" w:rsidRDefault="0085560B" w:rsidP="0085560B">
            <w:pPr>
              <w:jc w:val="center"/>
              <w:rPr>
                <w:rFonts w:ascii="Arial" w:eastAsia="SimSun" w:hAnsi="Arial" w:cs="Arial"/>
                <w:color w:val="000000"/>
                <w:sz w:val="20"/>
                <w:szCs w:val="20"/>
              </w:rPr>
            </w:pPr>
            <w:r w:rsidRPr="00BD4CE4">
              <w:rPr>
                <w:rFonts w:ascii="Arial" w:eastAsia="SimSun" w:hAnsi="Arial" w:cs="Arial"/>
                <w:color w:val="000000"/>
                <w:sz w:val="20"/>
                <w:szCs w:val="20"/>
              </w:rPr>
              <w:t>13.55%</w:t>
            </w:r>
          </w:p>
        </w:tc>
      </w:tr>
      <w:tr w:rsidR="0085560B" w:rsidRPr="00BD4CE4" w:rsidTr="0085560B">
        <w:trPr>
          <w:trHeight w:val="397"/>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60B" w:rsidRPr="00BD4CE4" w:rsidRDefault="0085560B" w:rsidP="0085560B">
            <w:pPr>
              <w:spacing w:line="360" w:lineRule="auto"/>
              <w:rPr>
                <w:rFonts w:ascii="Arial" w:eastAsia="SimSun" w:hAnsi="Arial" w:cs="Arial"/>
                <w:sz w:val="20"/>
                <w:szCs w:val="20"/>
              </w:rPr>
            </w:pPr>
            <w:r w:rsidRPr="00BD4CE4">
              <w:rPr>
                <w:rFonts w:ascii="Arial" w:hAnsi="Arial" w:cs="Arial"/>
                <w:sz w:val="20"/>
                <w:szCs w:val="20"/>
              </w:rPr>
              <w:t>Tasmania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60B" w:rsidRPr="00BD4CE4" w:rsidRDefault="0085560B" w:rsidP="0085560B">
            <w:pPr>
              <w:spacing w:line="360" w:lineRule="auto"/>
              <w:jc w:val="center"/>
              <w:rPr>
                <w:rFonts w:ascii="Arial" w:eastAsia="SimSun" w:hAnsi="Arial" w:cs="Arial"/>
                <w:sz w:val="20"/>
                <w:szCs w:val="20"/>
              </w:rPr>
            </w:pPr>
            <w:r w:rsidRPr="00BD4CE4">
              <w:rPr>
                <w:rFonts w:ascii="Arial" w:hAnsi="Arial" w:cs="Arial"/>
                <w:sz w:val="20"/>
                <w:szCs w:val="20"/>
              </w:rPr>
              <w:t>$118,466</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60B" w:rsidRPr="00BD4CE4" w:rsidRDefault="0085560B" w:rsidP="0085560B">
            <w:pPr>
              <w:jc w:val="center"/>
              <w:rPr>
                <w:rFonts w:ascii="Arial" w:eastAsia="SimSun" w:hAnsi="Arial" w:cs="Arial"/>
                <w:color w:val="000000"/>
                <w:sz w:val="20"/>
                <w:szCs w:val="20"/>
                <w:highlight w:val="yellow"/>
              </w:rPr>
            </w:pPr>
            <w:r w:rsidRPr="00BD4CE4">
              <w:rPr>
                <w:rFonts w:ascii="Arial" w:hAnsi="Arial" w:cs="Arial"/>
                <w:color w:val="000000"/>
                <w:sz w:val="20"/>
                <w:szCs w:val="20"/>
              </w:rPr>
              <w:t>$133,560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560B" w:rsidRPr="00BD4CE4" w:rsidRDefault="0085560B" w:rsidP="0085560B">
            <w:pPr>
              <w:jc w:val="center"/>
              <w:rPr>
                <w:rFonts w:ascii="Arial" w:eastAsia="SimSun" w:hAnsi="Arial" w:cs="Arial"/>
                <w:color w:val="000000"/>
                <w:sz w:val="20"/>
                <w:szCs w:val="20"/>
              </w:rPr>
            </w:pPr>
            <w:r w:rsidRPr="00BD4CE4">
              <w:rPr>
                <w:rFonts w:ascii="Arial" w:hAnsi="Arial" w:cs="Arial"/>
                <w:color w:val="000000"/>
                <w:sz w:val="20"/>
                <w:szCs w:val="20"/>
              </w:rPr>
              <w:t>12.74%</w:t>
            </w:r>
          </w:p>
        </w:tc>
      </w:tr>
    </w:tbl>
    <w:p w:rsidR="0085560B" w:rsidRPr="0085560B" w:rsidRDefault="0085560B" w:rsidP="0085560B">
      <w:pPr>
        <w:rPr>
          <w:rFonts w:asciiTheme="majorHAnsi" w:eastAsiaTheme="majorEastAsia" w:hAnsiTheme="majorHAnsi" w:cstheme="majorBidi"/>
          <w:bCs/>
          <w:color w:val="4F81BD" w:themeColor="accent1"/>
          <w:sz w:val="26"/>
          <w:szCs w:val="26"/>
        </w:rPr>
      </w:pPr>
    </w:p>
    <w:p w:rsidR="0085560B" w:rsidRDefault="0085560B" w:rsidP="0085560B">
      <w:pPr>
        <w:rPr>
          <w:rFonts w:asciiTheme="majorHAnsi" w:eastAsiaTheme="majorEastAsia" w:hAnsiTheme="majorHAnsi" w:cstheme="majorBidi"/>
          <w:bCs/>
          <w:color w:val="4F81BD" w:themeColor="accent1"/>
          <w:sz w:val="26"/>
          <w:szCs w:val="26"/>
        </w:rPr>
      </w:pPr>
    </w:p>
    <w:p w:rsidR="0085560B" w:rsidRDefault="0085560B" w:rsidP="0085560B">
      <w:pPr>
        <w:rPr>
          <w:rFonts w:asciiTheme="majorHAnsi" w:eastAsiaTheme="majorEastAsia" w:hAnsiTheme="majorHAnsi" w:cstheme="majorBidi"/>
          <w:bCs/>
          <w:color w:val="4F81BD" w:themeColor="accent1"/>
          <w:sz w:val="26"/>
          <w:szCs w:val="26"/>
        </w:rPr>
      </w:pPr>
    </w:p>
    <w:p w:rsidR="0085560B" w:rsidRDefault="0085560B" w:rsidP="0085560B">
      <w:pPr>
        <w:rPr>
          <w:rFonts w:asciiTheme="majorHAnsi" w:eastAsiaTheme="majorEastAsia" w:hAnsiTheme="majorHAnsi" w:cstheme="majorBidi"/>
          <w:bCs/>
          <w:color w:val="4F81BD" w:themeColor="accent1"/>
          <w:sz w:val="26"/>
          <w:szCs w:val="26"/>
        </w:rPr>
      </w:pPr>
    </w:p>
    <w:p w:rsidR="0085560B" w:rsidRDefault="0085560B" w:rsidP="0085560B">
      <w:pPr>
        <w:keepNext/>
        <w:rPr>
          <w:rFonts w:ascii="Arial" w:hAnsi="Arial" w:cs="Arial"/>
          <w:b/>
          <w:bCs/>
          <w:sz w:val="20"/>
          <w:szCs w:val="20"/>
          <w:lang w:val="en-US"/>
        </w:rPr>
      </w:pPr>
      <w:r>
        <w:rPr>
          <w:rFonts w:asciiTheme="majorHAnsi" w:eastAsiaTheme="majorEastAsia" w:hAnsiTheme="majorHAnsi" w:cstheme="majorBidi"/>
          <w:bCs/>
          <w:color w:val="4F81BD" w:themeColor="accent1"/>
          <w:sz w:val="26"/>
          <w:szCs w:val="26"/>
        </w:rPr>
        <w:br w:type="page"/>
      </w:r>
      <w:r w:rsidRPr="0085560B">
        <w:rPr>
          <w:rFonts w:asciiTheme="majorHAnsi" w:eastAsiaTheme="majorEastAsia" w:hAnsiTheme="majorHAnsi" w:cstheme="majorBidi"/>
          <w:bCs/>
          <w:color w:val="4F81BD" w:themeColor="accent1"/>
          <w:sz w:val="26"/>
          <w:szCs w:val="26"/>
        </w:rPr>
        <w:lastRenderedPageBreak/>
        <w:t xml:space="preserve">Appendix 2: Annual changes in MP base salary and other salary indices </w:t>
      </w:r>
      <w:r w:rsidR="00633A2D">
        <w:rPr>
          <w:rFonts w:asciiTheme="majorHAnsi" w:eastAsiaTheme="majorEastAsia" w:hAnsiTheme="majorHAnsi" w:cstheme="majorBidi"/>
          <w:bCs/>
          <w:color w:val="4F81BD" w:themeColor="accent1"/>
          <w:sz w:val="26"/>
          <w:szCs w:val="26"/>
        </w:rPr>
        <w:br/>
      </w:r>
      <w:r w:rsidRPr="0085560B">
        <w:rPr>
          <w:rFonts w:asciiTheme="majorHAnsi" w:eastAsiaTheme="majorEastAsia" w:hAnsiTheme="majorHAnsi" w:cstheme="majorBidi"/>
          <w:bCs/>
          <w:color w:val="4F81BD" w:themeColor="accent1"/>
          <w:sz w:val="26"/>
          <w:szCs w:val="26"/>
        </w:rPr>
        <w:t>2000–16</w:t>
      </w:r>
      <w:r w:rsidRPr="0085560B">
        <w:rPr>
          <w:rStyle w:val="FootnoteReference"/>
          <w:rFonts w:ascii="Arial" w:hAnsi="Arial" w:cs="Arial"/>
          <w:bCs/>
          <w:color w:val="4F81BD" w:themeColor="accent1"/>
          <w:sz w:val="20"/>
          <w:szCs w:val="20"/>
          <w:lang w:val="en-US"/>
        </w:rPr>
        <w:footnoteReference w:id="9"/>
      </w:r>
    </w:p>
    <w:p w:rsidR="0085560B" w:rsidRPr="00BD4CE4" w:rsidRDefault="0085560B" w:rsidP="0085560B">
      <w:pPr>
        <w:keepNext/>
        <w:rPr>
          <w:rFonts w:ascii="Arial" w:hAnsi="Arial" w:cs="Arial"/>
          <w:b/>
          <w:bCs/>
          <w:sz w:val="20"/>
          <w:szCs w:val="20"/>
          <w:lang w:val="en-US"/>
        </w:rPr>
      </w:pPr>
    </w:p>
    <w:tbl>
      <w:tblPr>
        <w:tblW w:w="0" w:type="auto"/>
        <w:tblLayout w:type="fixed"/>
        <w:tblLook w:val="04A0" w:firstRow="1" w:lastRow="0" w:firstColumn="1" w:lastColumn="0" w:noHBand="0" w:noVBand="1"/>
      </w:tblPr>
      <w:tblGrid>
        <w:gridCol w:w="1474"/>
        <w:gridCol w:w="1134"/>
        <w:gridCol w:w="1134"/>
        <w:gridCol w:w="1134"/>
        <w:gridCol w:w="1134"/>
        <w:gridCol w:w="1134"/>
        <w:gridCol w:w="1429"/>
      </w:tblGrid>
      <w:tr w:rsidR="0085560B" w:rsidRPr="00BD4CE4" w:rsidTr="00F12B1A">
        <w:trPr>
          <w:trHeight w:val="170"/>
        </w:trPr>
        <w:tc>
          <w:tcPr>
            <w:tcW w:w="1474"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Year</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MP Base Salary</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Average Weekly Earnings, Public Sector</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Average Weekly Earnings, Private and Public Sector</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CPI</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Qld Core Public Service</w:t>
            </w:r>
          </w:p>
        </w:tc>
        <w:tc>
          <w:tcPr>
            <w:tcW w:w="1429"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SES</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2000-01</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3.93%</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6.97%</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6.70%</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6.15%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3.14%</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2001-02</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3.37%</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4.18%</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3.79%</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3.03%</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3.13%</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2002-03</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4.03%</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3.19%</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5.22%</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2.68%</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3.97%</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2003-04</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3.92%</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4.44%</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4.95%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3.13%</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3.80%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3.96%</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2004-05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4.12%</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4.61%</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7.41%</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2.53%</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3.80%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0.00%</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2005-06</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7.05%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5.42%</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2.25%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4.19%</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4.00%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3.95%</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2006-07</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6.85%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4.54%</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5.65%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2.60%</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4.00%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8.16%</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2007-08</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3.99%</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5.57%</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5.07%</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4.00%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4.00%</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2008-09</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4.96%</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6.16%</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1.98%</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4.50%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2.50%</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2009-10</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3.14%</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5.17%</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6.05%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3.23%</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4.00%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2.50%</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2010-11</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5.12%</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4.23%</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3.86%</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4.00%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2.50%</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2011-12</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4.15%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3.77%</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0.90%</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2.20%</w:t>
            </w:r>
          </w:p>
        </w:tc>
      </w:tr>
      <w:tr w:rsidR="0085560B" w:rsidRPr="00BD4CE4" w:rsidTr="00F12B1A">
        <w:trPr>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2012-13</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5.35%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3.80%</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7.65%</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1.99%</w:t>
            </w:r>
          </w:p>
        </w:tc>
        <w:tc>
          <w:tcPr>
            <w:tcW w:w="1134"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0.00%</w:t>
            </w:r>
          </w:p>
        </w:tc>
        <w:tc>
          <w:tcPr>
            <w:tcW w:w="1429" w:type="dxa"/>
            <w:tcBorders>
              <w:top w:val="nil"/>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2.20%</w:t>
            </w:r>
          </w:p>
        </w:tc>
      </w:tr>
      <w:tr w:rsidR="0085560B" w:rsidRPr="00BD4CE4" w:rsidTr="00F12B1A">
        <w:trPr>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2013-14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1.07%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2.20%</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2.20%</w:t>
            </w:r>
          </w:p>
        </w:tc>
      </w:tr>
      <w:tr w:rsidR="0085560B" w:rsidRPr="00BD4CE4" w:rsidTr="00F12B1A">
        <w:trPr>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2014-15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1.56%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0.15%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1.51%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2.20%</w:t>
            </w: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2.20%</w:t>
            </w:r>
          </w:p>
        </w:tc>
      </w:tr>
      <w:tr w:rsidR="0085560B" w:rsidRPr="00BD4CE4" w:rsidTr="00F12B1A">
        <w:trPr>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2015-16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1.73%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3.54%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1.35%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1.49%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2.50%</w:t>
            </w: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BD4CE4">
              <w:rPr>
                <w:rFonts w:ascii="Arial" w:eastAsia="Times New Roman" w:hAnsi="Arial" w:cs="Arial"/>
                <w:sz w:val="18"/>
                <w:szCs w:val="18"/>
                <w:lang w:eastAsia="en-AU"/>
              </w:rPr>
              <w:t>2.50%</w:t>
            </w:r>
          </w:p>
        </w:tc>
      </w:tr>
      <w:tr w:rsidR="0085560B" w:rsidRPr="00BD4CE4" w:rsidTr="00F12B1A">
        <w:trPr>
          <w:trHeight w:val="170"/>
        </w:trPr>
        <w:tc>
          <w:tcPr>
            <w:tcW w:w="1474" w:type="dxa"/>
            <w:tcBorders>
              <w:top w:val="single" w:sz="4" w:space="0" w:color="auto"/>
              <w:left w:val="single" w:sz="4" w:space="0" w:color="auto"/>
              <w:bottom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single" w:sz="4" w:space="0" w:color="auto"/>
              <w:bottom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single" w:sz="4" w:space="0" w:color="auto"/>
              <w:bottom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single" w:sz="4" w:space="0" w:color="auto"/>
              <w:bottom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single" w:sz="4" w:space="0" w:color="auto"/>
              <w:bottom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p>
        </w:tc>
        <w:tc>
          <w:tcPr>
            <w:tcW w:w="1134" w:type="dxa"/>
            <w:tcBorders>
              <w:top w:val="single" w:sz="4" w:space="0" w:color="auto"/>
              <w:bottom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p>
        </w:tc>
        <w:tc>
          <w:tcPr>
            <w:tcW w:w="1429" w:type="dxa"/>
            <w:tcBorders>
              <w:top w:val="single" w:sz="4" w:space="0" w:color="auto"/>
              <w:bottom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p>
        </w:tc>
      </w:tr>
      <w:tr w:rsidR="0085560B" w:rsidRPr="00BD4CE4" w:rsidTr="00F12B1A">
        <w:trPr>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tcPr>
          <w:p w:rsidR="0085560B" w:rsidRPr="00BD4CE4" w:rsidRDefault="0085560B" w:rsidP="00F12B1A">
            <w:pPr>
              <w:spacing w:before="20" w:after="20"/>
              <w:jc w:val="center"/>
              <w:rPr>
                <w:rFonts w:ascii="Arial" w:eastAsia="Times New Roman" w:hAnsi="Arial" w:cs="Arial"/>
                <w:bCs/>
                <w:sz w:val="18"/>
                <w:szCs w:val="18"/>
              </w:rPr>
            </w:pPr>
            <w:r w:rsidRPr="00BD4CE4">
              <w:rPr>
                <w:rFonts w:ascii="Arial" w:eastAsia="Times New Roman" w:hAnsi="Arial" w:cs="Arial"/>
                <w:bCs/>
                <w:sz w:val="18"/>
                <w:szCs w:val="18"/>
              </w:rPr>
              <w:t xml:space="preserve">5-year </w:t>
            </w:r>
            <w:proofErr w:type="spellStart"/>
            <w:r w:rsidRPr="00BD4CE4">
              <w:rPr>
                <w:rFonts w:ascii="Arial" w:eastAsia="Times New Roman" w:hAnsi="Arial" w:cs="Arial"/>
                <w:bCs/>
                <w:sz w:val="18"/>
                <w:szCs w:val="18"/>
              </w:rPr>
              <w:t>ave</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560B" w:rsidRPr="00BD4CE4" w:rsidRDefault="0085560B" w:rsidP="00F12B1A">
            <w:pPr>
              <w:jc w:val="center"/>
              <w:rPr>
                <w:rFonts w:ascii="Arial" w:hAnsi="Arial" w:cs="Arial"/>
                <w:sz w:val="18"/>
                <w:szCs w:val="18"/>
              </w:rPr>
            </w:pPr>
            <w:r w:rsidRPr="00BD4CE4">
              <w:rPr>
                <w:rFonts w:ascii="Arial" w:hAnsi="Arial" w:cs="Arial"/>
                <w:sz w:val="18"/>
                <w:szCs w:val="18"/>
              </w:rPr>
              <w:t>2.51%</w:t>
            </w:r>
          </w:p>
        </w:tc>
        <w:tc>
          <w:tcPr>
            <w:tcW w:w="1134"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3.09%</w:t>
            </w:r>
          </w:p>
        </w:tc>
        <w:tc>
          <w:tcPr>
            <w:tcW w:w="1134"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2.76%</w:t>
            </w:r>
          </w:p>
        </w:tc>
        <w:tc>
          <w:tcPr>
            <w:tcW w:w="1134"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1.82%</w:t>
            </w:r>
          </w:p>
        </w:tc>
        <w:tc>
          <w:tcPr>
            <w:tcW w:w="1134"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1.37%</w:t>
            </w:r>
          </w:p>
        </w:tc>
        <w:tc>
          <w:tcPr>
            <w:tcW w:w="1429"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2.26%</w:t>
            </w:r>
          </w:p>
        </w:tc>
      </w:tr>
      <w:tr w:rsidR="0085560B" w:rsidRPr="00BD4CE4" w:rsidTr="00F12B1A">
        <w:trPr>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60B" w:rsidRPr="00BD4CE4" w:rsidRDefault="0085560B" w:rsidP="00F12B1A">
            <w:pPr>
              <w:spacing w:before="20" w:after="20"/>
              <w:jc w:val="center"/>
              <w:rPr>
                <w:rFonts w:ascii="Arial" w:eastAsia="Times New Roman" w:hAnsi="Arial" w:cs="Arial"/>
                <w:bCs/>
                <w:sz w:val="18"/>
                <w:szCs w:val="18"/>
              </w:rPr>
            </w:pPr>
            <w:r w:rsidRPr="00BD4CE4">
              <w:rPr>
                <w:rFonts w:ascii="Arial" w:eastAsia="Times New Roman" w:hAnsi="Arial" w:cs="Arial"/>
                <w:bCs/>
                <w:sz w:val="18"/>
                <w:szCs w:val="18"/>
              </w:rPr>
              <w:t xml:space="preserve">10-year </w:t>
            </w:r>
            <w:proofErr w:type="spellStart"/>
            <w:r w:rsidRPr="00BD4CE4">
              <w:rPr>
                <w:rFonts w:ascii="Arial" w:eastAsia="Times New Roman" w:hAnsi="Arial" w:cs="Arial"/>
                <w:bCs/>
                <w:sz w:val="18"/>
                <w:szCs w:val="18"/>
              </w:rPr>
              <w:t>ave</w:t>
            </w:r>
            <w:proofErr w:type="spellEnd"/>
          </w:p>
        </w:tc>
        <w:tc>
          <w:tcPr>
            <w:tcW w:w="1134"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2.49%</w:t>
            </w:r>
          </w:p>
        </w:tc>
        <w:tc>
          <w:tcPr>
            <w:tcW w:w="1134"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3.92%</w:t>
            </w:r>
          </w:p>
        </w:tc>
        <w:tc>
          <w:tcPr>
            <w:tcW w:w="1134"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4.14%</w:t>
            </w:r>
          </w:p>
        </w:tc>
        <w:tc>
          <w:tcPr>
            <w:tcW w:w="1134"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2.58%</w:t>
            </w:r>
          </w:p>
        </w:tc>
        <w:tc>
          <w:tcPr>
            <w:tcW w:w="1134"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2.73%</w:t>
            </w:r>
          </w:p>
        </w:tc>
        <w:tc>
          <w:tcPr>
            <w:tcW w:w="1429" w:type="dxa"/>
            <w:tcBorders>
              <w:top w:val="single" w:sz="4" w:space="0" w:color="auto"/>
              <w:left w:val="nil"/>
              <w:bottom w:val="single" w:sz="4" w:space="0" w:color="auto"/>
              <w:right w:val="single" w:sz="4" w:space="0" w:color="auto"/>
            </w:tcBorders>
            <w:shd w:val="clear" w:color="auto" w:fill="auto"/>
            <w:noWrap/>
          </w:tcPr>
          <w:p w:rsidR="0085560B" w:rsidRPr="00BD4CE4" w:rsidRDefault="0085560B" w:rsidP="00F12B1A">
            <w:pPr>
              <w:jc w:val="center"/>
              <w:rPr>
                <w:rFonts w:ascii="Arial" w:hAnsi="Arial" w:cs="Arial"/>
                <w:sz w:val="18"/>
                <w:szCs w:val="18"/>
              </w:rPr>
            </w:pPr>
            <w:r w:rsidRPr="00BD4CE4">
              <w:rPr>
                <w:rFonts w:ascii="Arial" w:hAnsi="Arial" w:cs="Arial"/>
                <w:sz w:val="18"/>
                <w:szCs w:val="18"/>
              </w:rPr>
              <w:t>3.08%</w:t>
            </w:r>
          </w:p>
        </w:tc>
      </w:tr>
    </w:tbl>
    <w:p w:rsidR="0085560B" w:rsidRDefault="0085560B" w:rsidP="0085560B">
      <w:pPr>
        <w:rPr>
          <w:rFonts w:ascii="Arial" w:hAnsi="Arial" w:cs="Arial"/>
        </w:rPr>
      </w:pPr>
    </w:p>
    <w:p w:rsidR="0085560B" w:rsidRPr="00BD4CE4" w:rsidRDefault="0085560B" w:rsidP="0085560B">
      <w:pPr>
        <w:rPr>
          <w:rFonts w:ascii="Arial" w:hAnsi="Arial" w:cs="Arial"/>
        </w:rPr>
      </w:pPr>
    </w:p>
    <w:tbl>
      <w:tblPr>
        <w:tblW w:w="8642" w:type="dxa"/>
        <w:tblLook w:val="04A0" w:firstRow="1" w:lastRow="0" w:firstColumn="1" w:lastColumn="0" w:noHBand="0" w:noVBand="1"/>
      </w:tblPr>
      <w:tblGrid>
        <w:gridCol w:w="1426"/>
        <w:gridCol w:w="1098"/>
        <w:gridCol w:w="1098"/>
        <w:gridCol w:w="156"/>
        <w:gridCol w:w="1037"/>
        <w:gridCol w:w="1134"/>
        <w:gridCol w:w="1134"/>
        <w:gridCol w:w="1559"/>
      </w:tblGrid>
      <w:tr w:rsidR="0085560B" w:rsidRPr="00BD4CE4" w:rsidTr="00633A2D">
        <w:trPr>
          <w:trHeight w:val="170"/>
        </w:trPr>
        <w:tc>
          <w:tcPr>
            <w:tcW w:w="1426"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85560B" w:rsidRPr="00BD4CE4" w:rsidRDefault="0085560B" w:rsidP="00F12B1A">
            <w:pPr>
              <w:jc w:val="center"/>
              <w:rPr>
                <w:rFonts w:ascii="Arial" w:eastAsia="Times New Roman" w:hAnsi="Arial" w:cs="Arial"/>
                <w:b/>
                <w:bCs/>
                <w:sz w:val="18"/>
                <w:szCs w:val="18"/>
                <w:lang w:eastAsia="en-AU"/>
              </w:rPr>
            </w:pPr>
          </w:p>
        </w:tc>
        <w:tc>
          <w:tcPr>
            <w:tcW w:w="1098"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MP Base Salary</w:t>
            </w:r>
          </w:p>
        </w:tc>
        <w:tc>
          <w:tcPr>
            <w:tcW w:w="1254" w:type="dxa"/>
            <w:gridSpan w:val="2"/>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Average Weekly Earnings, Public Sector</w:t>
            </w:r>
          </w:p>
        </w:tc>
        <w:tc>
          <w:tcPr>
            <w:tcW w:w="1037"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Average Weekly Earnings, Private and Public Sector</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CPI</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Qld Core Public Service</w:t>
            </w:r>
          </w:p>
        </w:tc>
        <w:tc>
          <w:tcPr>
            <w:tcW w:w="1559" w:type="dxa"/>
            <w:tcBorders>
              <w:top w:val="single" w:sz="4" w:space="0" w:color="auto"/>
              <w:left w:val="nil"/>
              <w:bottom w:val="single" w:sz="4" w:space="0" w:color="auto"/>
              <w:right w:val="single" w:sz="4" w:space="0" w:color="auto"/>
            </w:tcBorders>
            <w:shd w:val="clear" w:color="000000" w:fill="95B3D7"/>
            <w:vAlign w:val="center"/>
            <w:hideMark/>
          </w:tcPr>
          <w:p w:rsidR="0085560B" w:rsidRPr="00BD4CE4" w:rsidRDefault="0085560B" w:rsidP="00F12B1A">
            <w:pPr>
              <w:jc w:val="center"/>
              <w:rPr>
                <w:rFonts w:ascii="Arial" w:eastAsia="Times New Roman" w:hAnsi="Arial" w:cs="Arial"/>
                <w:b/>
                <w:bCs/>
                <w:sz w:val="18"/>
                <w:szCs w:val="18"/>
                <w:lang w:eastAsia="en-AU"/>
              </w:rPr>
            </w:pPr>
            <w:r w:rsidRPr="00BD4CE4">
              <w:rPr>
                <w:rFonts w:ascii="Arial" w:eastAsia="Times New Roman" w:hAnsi="Arial" w:cs="Arial"/>
                <w:b/>
                <w:bCs/>
                <w:sz w:val="18"/>
                <w:szCs w:val="18"/>
                <w:lang w:eastAsia="en-AU"/>
              </w:rPr>
              <w:t>SES</w:t>
            </w:r>
          </w:p>
        </w:tc>
      </w:tr>
      <w:tr w:rsidR="0085560B" w:rsidRPr="00BD4CE4" w:rsidTr="00633A2D">
        <w:trPr>
          <w:trHeight w:val="170"/>
        </w:trPr>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60B" w:rsidRPr="00BD4CE4" w:rsidRDefault="0085560B" w:rsidP="00F12B1A">
            <w:pPr>
              <w:jc w:val="center"/>
              <w:rPr>
                <w:rFonts w:ascii="Arial" w:eastAsia="Times New Roman" w:hAnsi="Arial" w:cs="Arial"/>
                <w:sz w:val="18"/>
                <w:szCs w:val="18"/>
                <w:lang w:eastAsia="en-AU"/>
              </w:rPr>
            </w:pPr>
            <w:r w:rsidRPr="00633A2D">
              <w:rPr>
                <w:rFonts w:ascii="Arial" w:eastAsia="Times New Roman" w:hAnsi="Arial" w:cs="Arial"/>
                <w:bCs/>
                <w:sz w:val="18"/>
                <w:szCs w:val="18"/>
              </w:rPr>
              <w:t>$1,000 indexed since 2004-05</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85560B" w:rsidRPr="00633A2D" w:rsidRDefault="0085560B" w:rsidP="00F12B1A">
            <w:pPr>
              <w:jc w:val="right"/>
              <w:rPr>
                <w:rFonts w:ascii="Arial" w:hAnsi="Arial" w:cs="Arial"/>
                <w:bCs/>
                <w:sz w:val="22"/>
              </w:rPr>
            </w:pPr>
            <w:r w:rsidRPr="00633A2D">
              <w:rPr>
                <w:rFonts w:ascii="Arial" w:hAnsi="Arial" w:cs="Arial"/>
                <w:bCs/>
                <w:sz w:val="22"/>
              </w:rPr>
              <w:t>$1,425</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85560B" w:rsidRPr="00633A2D" w:rsidRDefault="0085560B" w:rsidP="00F12B1A">
            <w:pPr>
              <w:jc w:val="right"/>
              <w:rPr>
                <w:rFonts w:ascii="Arial" w:hAnsi="Arial" w:cs="Arial"/>
                <w:bCs/>
                <w:sz w:val="22"/>
              </w:rPr>
            </w:pPr>
            <w:r w:rsidRPr="00633A2D">
              <w:rPr>
                <w:rFonts w:ascii="Arial" w:hAnsi="Arial" w:cs="Arial"/>
                <w:bCs/>
                <w:sz w:val="22"/>
              </w:rPr>
              <w:t>$1,620</w:t>
            </w:r>
          </w:p>
        </w:tc>
        <w:tc>
          <w:tcPr>
            <w:tcW w:w="1193" w:type="dxa"/>
            <w:gridSpan w:val="2"/>
            <w:tcBorders>
              <w:top w:val="single" w:sz="4" w:space="0" w:color="auto"/>
              <w:left w:val="nil"/>
              <w:bottom w:val="single" w:sz="4" w:space="0" w:color="auto"/>
              <w:right w:val="single" w:sz="4" w:space="0" w:color="auto"/>
            </w:tcBorders>
            <w:shd w:val="clear" w:color="auto" w:fill="auto"/>
            <w:noWrap/>
            <w:vAlign w:val="center"/>
          </w:tcPr>
          <w:p w:rsidR="0085560B" w:rsidRPr="00633A2D" w:rsidRDefault="0085560B" w:rsidP="00F12B1A">
            <w:pPr>
              <w:jc w:val="right"/>
              <w:rPr>
                <w:rFonts w:ascii="Arial" w:hAnsi="Arial" w:cs="Arial"/>
                <w:bCs/>
                <w:sz w:val="22"/>
              </w:rPr>
            </w:pPr>
            <w:r w:rsidRPr="00633A2D">
              <w:rPr>
                <w:rFonts w:ascii="Arial" w:hAnsi="Arial" w:cs="Arial"/>
                <w:bCs/>
                <w:sz w:val="22"/>
              </w:rPr>
              <w:t>$1,647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633A2D" w:rsidRDefault="0085560B" w:rsidP="00F12B1A">
            <w:pPr>
              <w:jc w:val="right"/>
              <w:rPr>
                <w:rFonts w:ascii="Arial" w:hAnsi="Arial" w:cs="Arial"/>
                <w:bCs/>
                <w:sz w:val="22"/>
              </w:rPr>
            </w:pPr>
            <w:r w:rsidRPr="00633A2D">
              <w:rPr>
                <w:rFonts w:ascii="Arial" w:hAnsi="Arial" w:cs="Arial"/>
                <w:bCs/>
                <w:sz w:val="22"/>
              </w:rPr>
              <w:t>$1,378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560B" w:rsidRPr="00633A2D" w:rsidRDefault="0085560B" w:rsidP="00F12B1A">
            <w:pPr>
              <w:jc w:val="right"/>
              <w:rPr>
                <w:rFonts w:ascii="Arial" w:hAnsi="Arial" w:cs="Arial"/>
                <w:bCs/>
                <w:sz w:val="22"/>
              </w:rPr>
            </w:pPr>
            <w:r w:rsidRPr="00633A2D">
              <w:rPr>
                <w:rFonts w:ascii="Arial" w:hAnsi="Arial" w:cs="Arial"/>
                <w:bCs/>
                <w:sz w:val="22"/>
              </w:rPr>
              <w:t>$1,413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5560B" w:rsidRPr="00633A2D" w:rsidRDefault="0085560B" w:rsidP="00F12B1A">
            <w:pPr>
              <w:jc w:val="right"/>
              <w:rPr>
                <w:rFonts w:ascii="Arial" w:hAnsi="Arial" w:cs="Arial"/>
                <w:bCs/>
                <w:sz w:val="22"/>
              </w:rPr>
            </w:pPr>
            <w:r w:rsidRPr="00633A2D">
              <w:rPr>
                <w:rFonts w:ascii="Arial" w:hAnsi="Arial" w:cs="Arial"/>
                <w:bCs/>
                <w:sz w:val="22"/>
              </w:rPr>
              <w:t>$1,408</w:t>
            </w:r>
          </w:p>
        </w:tc>
      </w:tr>
    </w:tbl>
    <w:p w:rsidR="0085560B" w:rsidRDefault="0085560B" w:rsidP="0085560B">
      <w:pPr>
        <w:jc w:val="center"/>
        <w:rPr>
          <w:rFonts w:ascii="Arial" w:hAnsi="Arial" w:cs="Arial"/>
          <w:sz w:val="18"/>
          <w:szCs w:val="18"/>
        </w:rPr>
      </w:pPr>
    </w:p>
    <w:p w:rsidR="0085560B" w:rsidRDefault="0085560B" w:rsidP="0085560B">
      <w:pPr>
        <w:jc w:val="center"/>
        <w:rPr>
          <w:rFonts w:ascii="Arial" w:hAnsi="Arial" w:cs="Arial"/>
          <w:sz w:val="18"/>
          <w:szCs w:val="18"/>
        </w:rPr>
      </w:pPr>
    </w:p>
    <w:p w:rsidR="0085560B" w:rsidRPr="00BD4CE4" w:rsidRDefault="0085560B" w:rsidP="0085560B">
      <w:pPr>
        <w:jc w:val="center"/>
        <w:rPr>
          <w:rFonts w:ascii="Arial" w:hAnsi="Arial" w:cs="Arial"/>
          <w:sz w:val="18"/>
          <w:szCs w:val="18"/>
        </w:rPr>
      </w:pPr>
    </w:p>
    <w:tbl>
      <w:tblPr>
        <w:tblW w:w="9408" w:type="dxa"/>
        <w:tblInd w:w="-5" w:type="dxa"/>
        <w:tblLayout w:type="fixed"/>
        <w:tblLook w:val="04A0" w:firstRow="1" w:lastRow="0" w:firstColumn="1" w:lastColumn="0" w:noHBand="0" w:noVBand="1"/>
      </w:tblPr>
      <w:tblGrid>
        <w:gridCol w:w="2269"/>
        <w:gridCol w:w="7139"/>
      </w:tblGrid>
      <w:tr w:rsidR="0085560B" w:rsidRPr="00BD4CE4" w:rsidTr="0047094D">
        <w:trPr>
          <w:trHeight w:val="300"/>
        </w:trPr>
        <w:tc>
          <w:tcPr>
            <w:tcW w:w="2269" w:type="dxa"/>
            <w:tcBorders>
              <w:top w:val="single" w:sz="4" w:space="0" w:color="auto"/>
              <w:left w:val="single" w:sz="4" w:space="0" w:color="auto"/>
              <w:bottom w:val="single" w:sz="4" w:space="0" w:color="auto"/>
              <w:right w:val="single" w:sz="4" w:space="0" w:color="000000"/>
            </w:tcBorders>
            <w:shd w:val="clear" w:color="auto" w:fill="95B3D7"/>
            <w:noWrap/>
            <w:vAlign w:val="center"/>
            <w:hideMark/>
          </w:tcPr>
          <w:p w:rsidR="0085560B" w:rsidRPr="00BD4CE4" w:rsidRDefault="0085560B" w:rsidP="00F12B1A">
            <w:pPr>
              <w:rPr>
                <w:rFonts w:ascii="Arial" w:eastAsia="Times New Roman" w:hAnsi="Arial" w:cs="Arial"/>
                <w:b/>
                <w:bCs/>
                <w:color w:val="000000"/>
                <w:sz w:val="16"/>
                <w:szCs w:val="16"/>
              </w:rPr>
            </w:pPr>
            <w:r w:rsidRPr="00BD4CE4">
              <w:rPr>
                <w:rFonts w:ascii="Arial" w:hAnsi="Arial" w:cs="Arial"/>
                <w:sz w:val="10"/>
                <w:szCs w:val="10"/>
              </w:rPr>
              <w:br w:type="page"/>
            </w:r>
            <w:r w:rsidRPr="00BD4CE4">
              <w:rPr>
                <w:rFonts w:ascii="Arial" w:eastAsia="Times New Roman" w:hAnsi="Arial" w:cs="Arial"/>
                <w:b/>
                <w:bCs/>
                <w:color w:val="000000"/>
                <w:sz w:val="16"/>
                <w:szCs w:val="16"/>
              </w:rPr>
              <w:t>DATA</w:t>
            </w:r>
          </w:p>
        </w:tc>
        <w:tc>
          <w:tcPr>
            <w:tcW w:w="7139" w:type="dxa"/>
            <w:tcBorders>
              <w:top w:val="single" w:sz="4" w:space="0" w:color="auto"/>
              <w:left w:val="nil"/>
              <w:bottom w:val="single" w:sz="4" w:space="0" w:color="auto"/>
              <w:right w:val="single" w:sz="4" w:space="0" w:color="000000"/>
            </w:tcBorders>
            <w:shd w:val="clear" w:color="auto" w:fill="95B3D7"/>
            <w:noWrap/>
            <w:vAlign w:val="center"/>
            <w:hideMark/>
          </w:tcPr>
          <w:p w:rsidR="0085560B" w:rsidRPr="00BD4CE4" w:rsidRDefault="0085560B" w:rsidP="00F12B1A">
            <w:pPr>
              <w:rPr>
                <w:rFonts w:ascii="Arial" w:eastAsia="Times New Roman" w:hAnsi="Arial" w:cs="Arial"/>
                <w:b/>
                <w:bCs/>
                <w:color w:val="000000"/>
                <w:sz w:val="16"/>
                <w:szCs w:val="16"/>
              </w:rPr>
            </w:pPr>
            <w:r w:rsidRPr="00BD4CE4">
              <w:rPr>
                <w:rFonts w:ascii="Arial" w:eastAsia="Times New Roman" w:hAnsi="Arial" w:cs="Arial"/>
                <w:b/>
                <w:bCs/>
                <w:color w:val="000000"/>
                <w:sz w:val="16"/>
                <w:szCs w:val="16"/>
              </w:rPr>
              <w:t>SOURCE</w:t>
            </w:r>
          </w:p>
        </w:tc>
      </w:tr>
      <w:tr w:rsidR="0085560B" w:rsidRPr="00BD4CE4" w:rsidTr="0047094D">
        <w:trPr>
          <w:trHeight w:val="300"/>
        </w:trPr>
        <w:tc>
          <w:tcPr>
            <w:tcW w:w="2269" w:type="dxa"/>
            <w:tcBorders>
              <w:top w:val="single" w:sz="4" w:space="0" w:color="auto"/>
              <w:left w:val="single" w:sz="4" w:space="0" w:color="auto"/>
              <w:bottom w:val="single" w:sz="4" w:space="0" w:color="auto"/>
              <w:right w:val="single" w:sz="4" w:space="0" w:color="000000"/>
            </w:tcBorders>
            <w:noWrap/>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MP Base Salary</w:t>
            </w:r>
          </w:p>
        </w:tc>
        <w:tc>
          <w:tcPr>
            <w:tcW w:w="7139" w:type="dxa"/>
            <w:tcBorders>
              <w:top w:val="single" w:sz="4" w:space="0" w:color="auto"/>
              <w:left w:val="nil"/>
              <w:bottom w:val="single" w:sz="4" w:space="0" w:color="auto"/>
              <w:right w:val="single" w:sz="4" w:space="0" w:color="000000"/>
            </w:tcBorders>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MP Base Salary increase from 1 July in financial year</w:t>
            </w:r>
          </w:p>
        </w:tc>
      </w:tr>
      <w:tr w:rsidR="0085560B" w:rsidRPr="00BD4CE4" w:rsidTr="0047094D">
        <w:trPr>
          <w:trHeight w:val="300"/>
        </w:trPr>
        <w:tc>
          <w:tcPr>
            <w:tcW w:w="2269" w:type="dxa"/>
            <w:tcBorders>
              <w:top w:val="single" w:sz="4" w:space="0" w:color="auto"/>
              <w:left w:val="single" w:sz="4" w:space="0" w:color="auto"/>
              <w:bottom w:val="single" w:sz="4" w:space="0" w:color="auto"/>
              <w:right w:val="single" w:sz="4" w:space="0" w:color="000000"/>
            </w:tcBorders>
            <w:noWrap/>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Average Weekly Earnings, Public Sector</w:t>
            </w:r>
          </w:p>
        </w:tc>
        <w:tc>
          <w:tcPr>
            <w:tcW w:w="7139" w:type="dxa"/>
            <w:tcBorders>
              <w:top w:val="single" w:sz="4" w:space="0" w:color="auto"/>
              <w:left w:val="nil"/>
              <w:bottom w:val="single" w:sz="4" w:space="0" w:color="auto"/>
              <w:right w:val="single" w:sz="4" w:space="0" w:color="000000"/>
            </w:tcBorders>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ABS 6302.0 - Average Weekly Ordinary Time Earnings - Qld ; Persons ; Full Time ; Adult ; Public Sector</w:t>
            </w:r>
          </w:p>
        </w:tc>
      </w:tr>
      <w:tr w:rsidR="0085560B" w:rsidRPr="00BD4CE4" w:rsidTr="0047094D">
        <w:trPr>
          <w:trHeight w:val="300"/>
        </w:trPr>
        <w:tc>
          <w:tcPr>
            <w:tcW w:w="2269" w:type="dxa"/>
            <w:tcBorders>
              <w:top w:val="single" w:sz="4" w:space="0" w:color="auto"/>
              <w:left w:val="single" w:sz="4" w:space="0" w:color="auto"/>
              <w:bottom w:val="single" w:sz="4" w:space="0" w:color="auto"/>
              <w:right w:val="single" w:sz="4" w:space="0" w:color="000000"/>
            </w:tcBorders>
            <w:noWrap/>
            <w:vAlign w:val="center"/>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lang w:eastAsia="en-AU"/>
              </w:rPr>
              <w:t>Average Weekly Earnings, Private and Public Sector</w:t>
            </w:r>
          </w:p>
        </w:tc>
        <w:tc>
          <w:tcPr>
            <w:tcW w:w="7139" w:type="dxa"/>
            <w:tcBorders>
              <w:top w:val="single" w:sz="4" w:space="0" w:color="auto"/>
              <w:left w:val="nil"/>
              <w:bottom w:val="single" w:sz="4" w:space="0" w:color="auto"/>
              <w:right w:val="single" w:sz="4" w:space="0" w:color="000000"/>
            </w:tcBorders>
            <w:vAlign w:val="center"/>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lang w:eastAsia="en-AU"/>
              </w:rPr>
              <w:t>ABS 6302.0 - Average Weekly Ordinary Time Earnings - Qld ; Persons ; Full Time ; Adult ; Total (Public and Private Sector)</w:t>
            </w:r>
          </w:p>
        </w:tc>
      </w:tr>
      <w:tr w:rsidR="0085560B" w:rsidRPr="00BD4CE4" w:rsidTr="0047094D">
        <w:trPr>
          <w:trHeight w:val="300"/>
        </w:trPr>
        <w:tc>
          <w:tcPr>
            <w:tcW w:w="2269" w:type="dxa"/>
            <w:tcBorders>
              <w:top w:val="single" w:sz="4" w:space="0" w:color="auto"/>
              <w:left w:val="single" w:sz="4" w:space="0" w:color="auto"/>
              <w:bottom w:val="single" w:sz="4" w:space="0" w:color="auto"/>
              <w:right w:val="single" w:sz="4" w:space="0" w:color="000000"/>
            </w:tcBorders>
            <w:noWrap/>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CPI</w:t>
            </w:r>
          </w:p>
        </w:tc>
        <w:tc>
          <w:tcPr>
            <w:tcW w:w="7139" w:type="dxa"/>
            <w:tcBorders>
              <w:top w:val="single" w:sz="4" w:space="0" w:color="auto"/>
              <w:left w:val="nil"/>
              <w:bottom w:val="single" w:sz="4" w:space="0" w:color="auto"/>
              <w:right w:val="single" w:sz="4" w:space="0" w:color="000000"/>
            </w:tcBorders>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ABS 6401.0 - Consumer Price Index - All groups CPI; Brisbane</w:t>
            </w:r>
          </w:p>
        </w:tc>
      </w:tr>
      <w:tr w:rsidR="0085560B" w:rsidRPr="00BD4CE4" w:rsidTr="0047094D">
        <w:trPr>
          <w:trHeight w:val="300"/>
        </w:trPr>
        <w:tc>
          <w:tcPr>
            <w:tcW w:w="2269" w:type="dxa"/>
            <w:tcBorders>
              <w:top w:val="single" w:sz="4" w:space="0" w:color="auto"/>
              <w:left w:val="single" w:sz="4" w:space="0" w:color="auto"/>
              <w:bottom w:val="single" w:sz="4" w:space="0" w:color="auto"/>
              <w:right w:val="single" w:sz="4" w:space="0" w:color="000000"/>
            </w:tcBorders>
            <w:noWrap/>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QLD Core Public Service</w:t>
            </w:r>
          </w:p>
        </w:tc>
        <w:tc>
          <w:tcPr>
            <w:tcW w:w="7139" w:type="dxa"/>
            <w:tcBorders>
              <w:top w:val="single" w:sz="4" w:space="0" w:color="auto"/>
              <w:left w:val="nil"/>
              <w:bottom w:val="single" w:sz="4" w:space="0" w:color="auto"/>
              <w:right w:val="single" w:sz="4" w:space="0" w:color="000000"/>
            </w:tcBorders>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Wage increases of 'core' government departments and agencies, State Government Entities Certified Agreement (2003, 2006, 2009, 2013,2015)</w:t>
            </w:r>
            <w:r w:rsidRPr="00BD4CE4">
              <w:rPr>
                <w:rStyle w:val="FootnoteReference"/>
                <w:rFonts w:ascii="Arial" w:eastAsia="Times New Roman" w:hAnsi="Arial" w:cs="Arial"/>
                <w:sz w:val="16"/>
                <w:szCs w:val="16"/>
              </w:rPr>
              <w:footnoteReference w:id="10"/>
            </w:r>
          </w:p>
        </w:tc>
      </w:tr>
      <w:tr w:rsidR="0085560B" w:rsidRPr="00BD4CE4" w:rsidTr="0047094D">
        <w:trPr>
          <w:trHeight w:val="300"/>
        </w:trPr>
        <w:tc>
          <w:tcPr>
            <w:tcW w:w="2269" w:type="dxa"/>
            <w:tcBorders>
              <w:top w:val="single" w:sz="4" w:space="0" w:color="auto"/>
              <w:left w:val="single" w:sz="4" w:space="0" w:color="auto"/>
              <w:bottom w:val="single" w:sz="4" w:space="0" w:color="auto"/>
              <w:right w:val="single" w:sz="4" w:space="0" w:color="000000"/>
            </w:tcBorders>
            <w:noWrap/>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SES Remuneration</w:t>
            </w:r>
          </w:p>
        </w:tc>
        <w:tc>
          <w:tcPr>
            <w:tcW w:w="7139" w:type="dxa"/>
            <w:tcBorders>
              <w:top w:val="single" w:sz="4" w:space="0" w:color="auto"/>
              <w:left w:val="nil"/>
              <w:bottom w:val="single" w:sz="4" w:space="0" w:color="auto"/>
              <w:right w:val="single" w:sz="4" w:space="0" w:color="000000"/>
            </w:tcBorders>
            <w:vAlign w:val="center"/>
            <w:hideMark/>
          </w:tcPr>
          <w:p w:rsidR="0085560B" w:rsidRPr="00BD4CE4" w:rsidRDefault="0085560B" w:rsidP="00F12B1A">
            <w:pPr>
              <w:rPr>
                <w:rFonts w:ascii="Arial" w:eastAsia="Times New Roman" w:hAnsi="Arial" w:cs="Arial"/>
                <w:sz w:val="16"/>
                <w:szCs w:val="16"/>
              </w:rPr>
            </w:pPr>
            <w:r w:rsidRPr="00BD4CE4">
              <w:rPr>
                <w:rFonts w:ascii="Arial" w:eastAsia="Times New Roman" w:hAnsi="Arial" w:cs="Arial"/>
                <w:sz w:val="16"/>
                <w:szCs w:val="16"/>
              </w:rPr>
              <w:t>Based on SES Remuneration Scale provided by the Public Service Commission</w:t>
            </w:r>
          </w:p>
        </w:tc>
      </w:tr>
    </w:tbl>
    <w:p w:rsidR="0085560B" w:rsidRPr="0085560B" w:rsidRDefault="0085560B" w:rsidP="0047094D">
      <w:pPr>
        <w:rPr>
          <w:rFonts w:asciiTheme="majorHAnsi" w:eastAsiaTheme="majorEastAsia" w:hAnsiTheme="majorHAnsi" w:cstheme="majorBidi"/>
          <w:bCs/>
          <w:color w:val="4F81BD" w:themeColor="accent1"/>
          <w:sz w:val="26"/>
          <w:szCs w:val="26"/>
        </w:rPr>
      </w:pPr>
    </w:p>
    <w:sectPr w:rsidR="0085560B" w:rsidRPr="0085560B" w:rsidSect="009730A2">
      <w:headerReference w:type="even" r:id="rId9"/>
      <w:headerReference w:type="default" r:id="rId10"/>
      <w:footerReference w:type="even" r:id="rId11"/>
      <w:footerReference w:type="default" r:id="rId12"/>
      <w:headerReference w:type="first" r:id="rId13"/>
      <w:footerReference w:type="first" r:id="rId14"/>
      <w:pgSz w:w="11900" w:h="16840"/>
      <w:pgMar w:top="1702"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C2" w:rsidRDefault="005774C2" w:rsidP="00283E15">
      <w:r>
        <w:separator/>
      </w:r>
    </w:p>
  </w:endnote>
  <w:endnote w:type="continuationSeparator" w:id="0">
    <w:p w:rsidR="005774C2" w:rsidRDefault="005774C2" w:rsidP="0028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20" w:rsidRDefault="004B3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621882"/>
      <w:docPartObj>
        <w:docPartGallery w:val="Page Numbers (Bottom of Page)"/>
        <w:docPartUnique/>
      </w:docPartObj>
    </w:sdtPr>
    <w:sdtEndPr>
      <w:rPr>
        <w:noProof/>
      </w:rPr>
    </w:sdtEndPr>
    <w:sdtContent>
      <w:p w:rsidR="000C0049" w:rsidRDefault="000C0049">
        <w:pPr>
          <w:pStyle w:val="Footer"/>
          <w:jc w:val="right"/>
        </w:pPr>
        <w:r>
          <w:fldChar w:fldCharType="begin"/>
        </w:r>
        <w:r>
          <w:instrText xml:space="preserve"> PAGE   \* MERGEFORMAT </w:instrText>
        </w:r>
        <w:r>
          <w:fldChar w:fldCharType="separate"/>
        </w:r>
        <w:r w:rsidR="00CF599C">
          <w:rPr>
            <w:noProof/>
          </w:rPr>
          <w:t>8</w:t>
        </w:r>
        <w:r>
          <w:rPr>
            <w:noProof/>
          </w:rPr>
          <w:fldChar w:fldCharType="end"/>
        </w:r>
      </w:p>
    </w:sdtContent>
  </w:sdt>
  <w:p w:rsidR="000C0049" w:rsidRDefault="000C0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20" w:rsidRDefault="004B3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C2" w:rsidRDefault="005774C2" w:rsidP="00283E15">
      <w:r>
        <w:separator/>
      </w:r>
    </w:p>
  </w:footnote>
  <w:footnote w:type="continuationSeparator" w:id="0">
    <w:p w:rsidR="005774C2" w:rsidRDefault="005774C2" w:rsidP="00283E15">
      <w:r>
        <w:continuationSeparator/>
      </w:r>
    </w:p>
  </w:footnote>
  <w:footnote w:id="1">
    <w:p w:rsidR="005771AE" w:rsidRPr="00283E15" w:rsidRDefault="005771AE">
      <w:pPr>
        <w:pStyle w:val="FootnoteText"/>
        <w:rPr>
          <w:rFonts w:asciiTheme="majorHAnsi" w:hAnsiTheme="majorHAnsi"/>
          <w:sz w:val="20"/>
          <w:szCs w:val="20"/>
          <w:lang w:val="en-US"/>
        </w:rPr>
      </w:pPr>
      <w:r w:rsidRPr="00283E15">
        <w:rPr>
          <w:rStyle w:val="FootnoteReference"/>
          <w:rFonts w:asciiTheme="majorHAnsi" w:hAnsiTheme="majorHAnsi"/>
          <w:sz w:val="20"/>
          <w:szCs w:val="20"/>
        </w:rPr>
        <w:footnoteRef/>
      </w:r>
      <w:r w:rsidRPr="00283E15">
        <w:rPr>
          <w:rFonts w:asciiTheme="majorHAnsi" w:hAnsiTheme="majorHAnsi"/>
          <w:sz w:val="20"/>
          <w:szCs w:val="20"/>
        </w:rPr>
        <w:t xml:space="preserve"> </w:t>
      </w:r>
      <w:r w:rsidRPr="000D7563">
        <w:rPr>
          <w:rFonts w:asciiTheme="majorHAnsi" w:hAnsiTheme="majorHAnsi" w:cs="Arial"/>
          <w:sz w:val="17"/>
          <w:szCs w:val="17"/>
          <w:lang w:val="en-US"/>
        </w:rPr>
        <w:t>The Parliament of Queensland and Other Acts Amendment Bill 2015 was introduced in the Legislative Assembly by the Premier and Minister for the Arts to implement an election commitment to limit future salary increases for an MP to salary increases received by public sector employees.</w:t>
      </w:r>
    </w:p>
  </w:footnote>
  <w:footnote w:id="2">
    <w:p w:rsidR="00BE2E7E" w:rsidRPr="000D7563" w:rsidRDefault="00BE2E7E" w:rsidP="00BE2E7E">
      <w:pPr>
        <w:pStyle w:val="FootnoteText"/>
        <w:rPr>
          <w:rFonts w:asciiTheme="majorHAnsi" w:hAnsiTheme="majorHAnsi" w:cs="Arial"/>
          <w:sz w:val="18"/>
          <w:szCs w:val="20"/>
          <w:lang w:val="en-US"/>
        </w:rPr>
      </w:pPr>
      <w:r w:rsidRPr="000D7563">
        <w:rPr>
          <w:rStyle w:val="FootnoteReference"/>
          <w:rFonts w:asciiTheme="majorHAnsi" w:hAnsiTheme="majorHAnsi" w:cs="Arial"/>
          <w:sz w:val="20"/>
          <w:szCs w:val="20"/>
        </w:rPr>
        <w:footnoteRef/>
      </w:r>
      <w:r w:rsidRPr="000D7563">
        <w:rPr>
          <w:rFonts w:asciiTheme="majorHAnsi" w:hAnsiTheme="majorHAnsi" w:cs="Arial"/>
          <w:sz w:val="20"/>
          <w:szCs w:val="20"/>
        </w:rPr>
        <w:t xml:space="preserve"> </w:t>
      </w:r>
      <w:r w:rsidRPr="000D7563">
        <w:rPr>
          <w:rFonts w:asciiTheme="majorHAnsi" w:hAnsiTheme="majorHAnsi" w:cs="Arial"/>
          <w:sz w:val="17"/>
          <w:szCs w:val="17"/>
          <w:lang w:val="en-US"/>
        </w:rPr>
        <w:t>We concur with and confirm Determination 1/2013 that analysis of salary increases in</w:t>
      </w:r>
      <w:r w:rsidR="000C0049" w:rsidRPr="000D7563">
        <w:rPr>
          <w:rFonts w:asciiTheme="majorHAnsi" w:hAnsiTheme="majorHAnsi" w:cs="Arial"/>
          <w:sz w:val="17"/>
          <w:szCs w:val="17"/>
          <w:lang w:val="en-US"/>
        </w:rPr>
        <w:t xml:space="preserve"> other state and territory jurisdictions</w:t>
      </w:r>
      <w:r w:rsidRPr="000D7563">
        <w:rPr>
          <w:rFonts w:asciiTheme="majorHAnsi" w:hAnsiTheme="majorHAnsi" w:cs="Arial"/>
          <w:sz w:val="17"/>
          <w:szCs w:val="17"/>
          <w:lang w:val="en-US"/>
        </w:rPr>
        <w:t xml:space="preserve"> is more appropriate and valid than comparisons with the Commonwealth Parliament. </w:t>
      </w:r>
    </w:p>
  </w:footnote>
  <w:footnote w:id="3">
    <w:p w:rsidR="00BE2E7E" w:rsidRPr="000D7563" w:rsidRDefault="00BE2E7E" w:rsidP="00BE2E7E">
      <w:pPr>
        <w:pStyle w:val="FootnoteText"/>
        <w:rPr>
          <w:rFonts w:asciiTheme="majorHAnsi" w:hAnsiTheme="majorHAnsi" w:cs="Arial"/>
        </w:rPr>
      </w:pPr>
      <w:r w:rsidRPr="000D7563">
        <w:rPr>
          <w:rStyle w:val="FootnoteReference"/>
          <w:rFonts w:asciiTheme="majorHAnsi" w:hAnsiTheme="majorHAnsi" w:cs="Arial"/>
        </w:rPr>
        <w:footnoteRef/>
      </w:r>
      <w:r w:rsidRPr="000D7563">
        <w:rPr>
          <w:rFonts w:asciiTheme="majorHAnsi" w:hAnsiTheme="majorHAnsi" w:cs="Arial"/>
        </w:rPr>
        <w:t xml:space="preserve"> </w:t>
      </w:r>
      <w:r w:rsidRPr="000D7563">
        <w:rPr>
          <w:rFonts w:asciiTheme="majorHAnsi" w:hAnsiTheme="majorHAnsi" w:cs="Arial"/>
          <w:sz w:val="17"/>
          <w:szCs w:val="17"/>
          <w:lang w:val="en-US"/>
        </w:rPr>
        <w:t>See Appendix 1: Comparison of base salary across Australia.</w:t>
      </w:r>
    </w:p>
  </w:footnote>
  <w:footnote w:id="4">
    <w:p w:rsidR="00BE2E7E" w:rsidRPr="000D7563" w:rsidRDefault="00BE2E7E" w:rsidP="00BE2E7E">
      <w:pPr>
        <w:pStyle w:val="FootnoteText"/>
        <w:rPr>
          <w:rFonts w:asciiTheme="majorHAnsi" w:hAnsiTheme="majorHAnsi" w:cs="Arial"/>
          <w:sz w:val="20"/>
        </w:rPr>
      </w:pPr>
      <w:r w:rsidRPr="000D7563">
        <w:rPr>
          <w:rStyle w:val="FootnoteReference"/>
          <w:rFonts w:asciiTheme="majorHAnsi" w:hAnsiTheme="majorHAnsi" w:cs="Arial"/>
          <w:sz w:val="22"/>
        </w:rPr>
        <w:footnoteRef/>
      </w:r>
      <w:r w:rsidRPr="000D7563">
        <w:rPr>
          <w:rFonts w:asciiTheme="majorHAnsi" w:hAnsiTheme="majorHAnsi" w:cs="Arial"/>
          <w:sz w:val="22"/>
        </w:rPr>
        <w:t xml:space="preserve"> </w:t>
      </w:r>
      <w:r w:rsidRPr="000D7563">
        <w:rPr>
          <w:rFonts w:asciiTheme="majorHAnsi" w:hAnsiTheme="majorHAnsi" w:cs="Arial"/>
          <w:sz w:val="17"/>
          <w:szCs w:val="17"/>
          <w:lang w:val="en-US"/>
        </w:rPr>
        <w:t xml:space="preserve">See Appendix 2: </w:t>
      </w:r>
      <w:r w:rsidR="00C7422B" w:rsidRPr="000D7563">
        <w:rPr>
          <w:rFonts w:asciiTheme="majorHAnsi" w:hAnsiTheme="majorHAnsi" w:cs="Arial"/>
          <w:sz w:val="17"/>
          <w:szCs w:val="17"/>
          <w:lang w:val="en-US"/>
        </w:rPr>
        <w:t>A</w:t>
      </w:r>
      <w:r w:rsidRPr="000D7563">
        <w:rPr>
          <w:rFonts w:asciiTheme="majorHAnsi" w:hAnsiTheme="majorHAnsi" w:cs="Arial"/>
          <w:sz w:val="17"/>
          <w:szCs w:val="17"/>
          <w:lang w:val="en-US"/>
        </w:rPr>
        <w:t xml:space="preserve">nnual changes in MP base salary and </w:t>
      </w:r>
      <w:r w:rsidR="00C7422B" w:rsidRPr="000D7563">
        <w:rPr>
          <w:rFonts w:asciiTheme="majorHAnsi" w:hAnsiTheme="majorHAnsi" w:cs="Arial"/>
          <w:sz w:val="17"/>
          <w:szCs w:val="17"/>
          <w:lang w:val="en-US"/>
        </w:rPr>
        <w:t>other salary indices 2000-2016.</w:t>
      </w:r>
    </w:p>
  </w:footnote>
  <w:footnote w:id="5">
    <w:p w:rsidR="00BE2E7E" w:rsidRPr="000D7563" w:rsidRDefault="00BE2E7E" w:rsidP="00BE2E7E">
      <w:pPr>
        <w:pStyle w:val="FootnoteText"/>
        <w:rPr>
          <w:rFonts w:asciiTheme="majorHAnsi" w:hAnsiTheme="majorHAnsi" w:cs="Arial"/>
          <w:sz w:val="18"/>
          <w:szCs w:val="20"/>
          <w:lang w:val="en-US"/>
        </w:rPr>
      </w:pPr>
      <w:r w:rsidRPr="000D7563">
        <w:rPr>
          <w:rStyle w:val="FootnoteReference"/>
          <w:rFonts w:asciiTheme="majorHAnsi" w:hAnsiTheme="majorHAnsi"/>
          <w:sz w:val="22"/>
        </w:rPr>
        <w:footnoteRef/>
      </w:r>
      <w:r w:rsidRPr="000D7563">
        <w:rPr>
          <w:rStyle w:val="FootnoteReference"/>
          <w:rFonts w:asciiTheme="majorHAnsi" w:hAnsiTheme="majorHAnsi"/>
          <w:sz w:val="22"/>
        </w:rPr>
        <w:t xml:space="preserve"> </w:t>
      </w:r>
      <w:r w:rsidRPr="000D7563">
        <w:rPr>
          <w:rFonts w:asciiTheme="majorHAnsi" w:hAnsiTheme="majorHAnsi" w:cs="Arial"/>
          <w:sz w:val="17"/>
          <w:szCs w:val="17"/>
          <w:lang w:val="en-US"/>
        </w:rPr>
        <w:t>See appendix 2</w:t>
      </w:r>
      <w:r w:rsidR="00C7422B" w:rsidRPr="000D7563">
        <w:rPr>
          <w:rFonts w:asciiTheme="majorHAnsi" w:hAnsiTheme="majorHAnsi" w:cs="Arial"/>
          <w:sz w:val="17"/>
          <w:szCs w:val="17"/>
          <w:lang w:val="en-US"/>
        </w:rPr>
        <w:t>: Annual changes in MP base salary and other salary indices 2000-2016</w:t>
      </w:r>
      <w:r w:rsidRPr="000D7563">
        <w:rPr>
          <w:rFonts w:asciiTheme="majorHAnsi" w:hAnsiTheme="majorHAnsi" w:cs="Arial"/>
          <w:sz w:val="17"/>
          <w:szCs w:val="17"/>
          <w:lang w:val="en-US"/>
        </w:rPr>
        <w:t xml:space="preserve"> and Budget Strategy and Outlook (Budget Paper 2) &lt;</w:t>
      </w:r>
      <w:hyperlink r:id="rId1" w:history="1">
        <w:r w:rsidRPr="000D7563">
          <w:rPr>
            <w:rFonts w:asciiTheme="majorHAnsi" w:hAnsiTheme="majorHAnsi" w:cs="Arial"/>
            <w:sz w:val="17"/>
            <w:szCs w:val="17"/>
            <w:lang w:val="en-US"/>
          </w:rPr>
          <w:t>http://budget.qld.gov.au/budget-papers/</w:t>
        </w:r>
      </w:hyperlink>
      <w:r w:rsidRPr="000D7563">
        <w:rPr>
          <w:rFonts w:asciiTheme="majorHAnsi" w:hAnsiTheme="majorHAnsi" w:cs="Arial"/>
          <w:sz w:val="17"/>
          <w:szCs w:val="17"/>
          <w:lang w:val="en-US"/>
        </w:rPr>
        <w:t>&gt;</w:t>
      </w:r>
      <w:r w:rsidRPr="000D7563">
        <w:rPr>
          <w:rFonts w:asciiTheme="majorHAnsi" w:hAnsiTheme="majorHAnsi" w:cs="Arial"/>
          <w:sz w:val="18"/>
          <w:szCs w:val="20"/>
          <w:lang w:val="en-US"/>
        </w:rPr>
        <w:t xml:space="preserve"> </w:t>
      </w:r>
    </w:p>
  </w:footnote>
  <w:footnote w:id="6">
    <w:p w:rsidR="005771AE" w:rsidRPr="000D7563" w:rsidRDefault="005771AE">
      <w:pPr>
        <w:pStyle w:val="FootnoteText"/>
        <w:rPr>
          <w:rFonts w:asciiTheme="majorHAnsi" w:hAnsiTheme="majorHAnsi" w:cs="Arial"/>
          <w:sz w:val="16"/>
          <w:szCs w:val="16"/>
          <w:lang w:val="en-US"/>
        </w:rPr>
      </w:pPr>
      <w:r w:rsidRPr="000D7563">
        <w:rPr>
          <w:rStyle w:val="FootnoteReference"/>
          <w:rFonts w:asciiTheme="majorHAnsi" w:hAnsiTheme="majorHAnsi" w:cs="Arial"/>
          <w:sz w:val="22"/>
        </w:rPr>
        <w:footnoteRef/>
      </w:r>
      <w:r w:rsidR="005E77D2" w:rsidRPr="000D7563">
        <w:rPr>
          <w:rStyle w:val="FootnoteReference"/>
          <w:rFonts w:asciiTheme="majorHAnsi" w:hAnsiTheme="majorHAnsi" w:cs="Arial"/>
          <w:sz w:val="22"/>
        </w:rPr>
        <w:t xml:space="preserve"> </w:t>
      </w:r>
      <w:r w:rsidR="00CA4BF1" w:rsidRPr="000D7563">
        <w:rPr>
          <w:rFonts w:asciiTheme="majorHAnsi" w:hAnsiTheme="majorHAnsi" w:cs="Arial"/>
          <w:sz w:val="18"/>
          <w:szCs w:val="20"/>
          <w:lang w:val="en-US"/>
        </w:rPr>
        <w:t xml:space="preserve"> </w:t>
      </w:r>
      <w:r w:rsidR="005E77D2" w:rsidRPr="000D7563">
        <w:rPr>
          <w:rFonts w:asciiTheme="majorHAnsi" w:hAnsiTheme="majorHAnsi" w:cs="Arial"/>
          <w:sz w:val="17"/>
          <w:szCs w:val="17"/>
          <w:lang w:val="en-US"/>
        </w:rPr>
        <w:t>Glenn Stevens AC, Governor, Reserve Bank of Australia, Address to the Anika Foundation Luncheon</w:t>
      </w:r>
      <w:r w:rsidR="0085560B" w:rsidRPr="000D7563">
        <w:rPr>
          <w:rFonts w:asciiTheme="majorHAnsi" w:hAnsiTheme="majorHAnsi" w:cs="Arial"/>
          <w:sz w:val="17"/>
          <w:szCs w:val="17"/>
          <w:lang w:val="en-US"/>
        </w:rPr>
        <w:t xml:space="preserve">, Sydney, 10 August 2016, </w:t>
      </w:r>
      <w:r w:rsidR="005E77D2" w:rsidRPr="000D7563">
        <w:rPr>
          <w:rFonts w:asciiTheme="majorHAnsi" w:hAnsiTheme="majorHAnsi" w:cs="Arial"/>
          <w:sz w:val="17"/>
          <w:szCs w:val="17"/>
          <w:lang w:val="en-US"/>
        </w:rPr>
        <w:t xml:space="preserve"> </w:t>
      </w:r>
      <w:r w:rsidR="005E77D2" w:rsidRPr="000D7563">
        <w:rPr>
          <w:rFonts w:asciiTheme="majorHAnsi" w:hAnsiTheme="majorHAnsi" w:cs="Arial"/>
          <w:i/>
          <w:sz w:val="17"/>
          <w:szCs w:val="17"/>
          <w:lang w:val="en-US"/>
        </w:rPr>
        <w:t>An Accounting</w:t>
      </w:r>
      <w:r w:rsidR="0085560B" w:rsidRPr="000D7563">
        <w:rPr>
          <w:rFonts w:asciiTheme="majorHAnsi" w:hAnsiTheme="majorHAnsi" w:cs="Arial"/>
          <w:i/>
          <w:sz w:val="17"/>
          <w:szCs w:val="17"/>
          <w:lang w:val="en-US"/>
        </w:rPr>
        <w:t xml:space="preserve">, </w:t>
      </w:r>
      <w:r w:rsidR="005E77D2" w:rsidRPr="000D7563">
        <w:rPr>
          <w:rFonts w:asciiTheme="majorHAnsi" w:hAnsiTheme="majorHAnsi" w:cs="Arial"/>
          <w:sz w:val="17"/>
          <w:szCs w:val="17"/>
          <w:lang w:val="en-US"/>
        </w:rPr>
        <w:t xml:space="preserve"> </w:t>
      </w:r>
      <w:r w:rsidR="0085560B" w:rsidRPr="000D7563">
        <w:rPr>
          <w:rFonts w:asciiTheme="majorHAnsi" w:hAnsiTheme="majorHAnsi" w:cs="Arial"/>
          <w:sz w:val="17"/>
          <w:szCs w:val="17"/>
          <w:lang w:val="en-US"/>
        </w:rPr>
        <w:t>&lt;</w:t>
      </w:r>
      <w:hyperlink r:id="rId2" w:history="1">
        <w:r w:rsidR="00CA4BF1" w:rsidRPr="000D7563">
          <w:rPr>
            <w:rFonts w:asciiTheme="majorHAnsi" w:hAnsiTheme="majorHAnsi" w:cs="Arial"/>
            <w:sz w:val="17"/>
            <w:szCs w:val="17"/>
            <w:lang w:val="en-US"/>
          </w:rPr>
          <w:t>http://www.rba.gov.au/speeches/2016/sp-gov-2016-08-10.html</w:t>
        </w:r>
      </w:hyperlink>
      <w:r w:rsidR="0085560B" w:rsidRPr="000D7563">
        <w:rPr>
          <w:rFonts w:asciiTheme="majorHAnsi" w:hAnsiTheme="majorHAnsi" w:cs="Arial"/>
          <w:sz w:val="17"/>
          <w:szCs w:val="17"/>
          <w:lang w:val="en-US"/>
        </w:rPr>
        <w:t>&gt;</w:t>
      </w:r>
    </w:p>
  </w:footnote>
  <w:footnote w:id="7">
    <w:p w:rsidR="00CA4BF1" w:rsidRPr="009730A2" w:rsidRDefault="00CA4BF1">
      <w:pPr>
        <w:pStyle w:val="FootnoteText"/>
        <w:rPr>
          <w:rFonts w:ascii="Arial" w:hAnsi="Arial" w:cs="Arial"/>
          <w:sz w:val="17"/>
          <w:szCs w:val="17"/>
        </w:rPr>
      </w:pPr>
      <w:r w:rsidRPr="000D7563">
        <w:rPr>
          <w:rStyle w:val="FootnoteReference"/>
          <w:rFonts w:asciiTheme="majorHAnsi" w:hAnsiTheme="majorHAnsi"/>
          <w:sz w:val="22"/>
        </w:rPr>
        <w:footnoteRef/>
      </w:r>
      <w:r w:rsidRPr="000D7563">
        <w:rPr>
          <w:rStyle w:val="FootnoteReference"/>
          <w:rFonts w:asciiTheme="majorHAnsi" w:hAnsiTheme="majorHAnsi"/>
          <w:sz w:val="22"/>
        </w:rPr>
        <w:t xml:space="preserve"> </w:t>
      </w:r>
      <w:r w:rsidR="005E77D2" w:rsidRPr="000D7563">
        <w:rPr>
          <w:rFonts w:asciiTheme="majorHAnsi" w:hAnsiTheme="majorHAnsi" w:cs="Arial"/>
          <w:sz w:val="17"/>
          <w:szCs w:val="17"/>
          <w:lang w:val="en-US"/>
        </w:rPr>
        <w:t>Reserve Bank of Australia, Minutes of the Monetary Policy Meeting of the R</w:t>
      </w:r>
      <w:r w:rsidR="0085560B" w:rsidRPr="000D7563">
        <w:rPr>
          <w:rFonts w:asciiTheme="majorHAnsi" w:hAnsiTheme="majorHAnsi" w:cs="Arial"/>
          <w:sz w:val="17"/>
          <w:szCs w:val="17"/>
          <w:lang w:val="en-US"/>
        </w:rPr>
        <w:t>eserve Bank Board, 5 July 2016,  &lt;</w:t>
      </w:r>
      <w:hyperlink r:id="rId3" w:history="1">
        <w:r w:rsidRPr="000D7563">
          <w:rPr>
            <w:rFonts w:asciiTheme="majorHAnsi" w:hAnsiTheme="majorHAnsi" w:cs="Arial"/>
            <w:sz w:val="17"/>
            <w:szCs w:val="17"/>
            <w:lang w:val="en-US"/>
          </w:rPr>
          <w:t>http://www.rba.gov.au/monetary-policy/rba-board-minutes/2016/2016-07-05.html</w:t>
        </w:r>
      </w:hyperlink>
      <w:r w:rsidR="0085560B" w:rsidRPr="000D7563">
        <w:rPr>
          <w:rFonts w:asciiTheme="majorHAnsi" w:hAnsiTheme="majorHAnsi" w:cs="Arial"/>
          <w:sz w:val="17"/>
          <w:szCs w:val="17"/>
        </w:rPr>
        <w:t>&gt;</w:t>
      </w:r>
    </w:p>
  </w:footnote>
  <w:footnote w:id="8">
    <w:p w:rsidR="0085560B" w:rsidRDefault="0085560B" w:rsidP="0085560B">
      <w:pPr>
        <w:pStyle w:val="FootnoteText"/>
      </w:pPr>
      <w:r>
        <w:rPr>
          <w:rStyle w:val="FootnoteReference"/>
        </w:rPr>
        <w:footnoteRef/>
      </w:r>
      <w:r>
        <w:t xml:space="preserve"> </w:t>
      </w:r>
      <w:r w:rsidRPr="0085560B">
        <w:rPr>
          <w:rFonts w:asciiTheme="majorHAnsi" w:hAnsiTheme="majorHAnsi"/>
          <w:sz w:val="20"/>
        </w:rPr>
        <w:t>For the Northern Territory, the base salary is taken at August 2013.</w:t>
      </w:r>
    </w:p>
  </w:footnote>
  <w:footnote w:id="9">
    <w:p w:rsidR="0085560B" w:rsidRPr="0085560B" w:rsidRDefault="0085560B" w:rsidP="0085560B">
      <w:pPr>
        <w:pStyle w:val="FootnoteText"/>
        <w:rPr>
          <w:rFonts w:asciiTheme="majorHAnsi" w:hAnsiTheme="majorHAnsi"/>
          <w:sz w:val="20"/>
        </w:rPr>
      </w:pPr>
      <w:r w:rsidRPr="0085560B">
        <w:rPr>
          <w:rStyle w:val="FootnoteReference"/>
          <w:rFonts w:asciiTheme="majorHAnsi" w:hAnsiTheme="majorHAnsi"/>
          <w:sz w:val="20"/>
        </w:rPr>
        <w:footnoteRef/>
      </w:r>
      <w:r w:rsidRPr="0085560B">
        <w:rPr>
          <w:rFonts w:asciiTheme="majorHAnsi" w:hAnsiTheme="majorHAnsi"/>
          <w:sz w:val="20"/>
        </w:rPr>
        <w:t xml:space="preserve"> Data provided by the Queensland Government’s Statistician’s Office.</w:t>
      </w:r>
    </w:p>
  </w:footnote>
  <w:footnote w:id="10">
    <w:p w:rsidR="0085560B" w:rsidRPr="0085560B" w:rsidRDefault="0085560B" w:rsidP="0085560B">
      <w:pPr>
        <w:pStyle w:val="FootnoteText"/>
        <w:rPr>
          <w:rFonts w:asciiTheme="majorHAnsi" w:hAnsiTheme="majorHAnsi"/>
        </w:rPr>
      </w:pPr>
      <w:r w:rsidRPr="0085560B">
        <w:rPr>
          <w:rStyle w:val="FootnoteReference"/>
          <w:rFonts w:asciiTheme="majorHAnsi" w:hAnsiTheme="majorHAnsi"/>
          <w:sz w:val="20"/>
        </w:rPr>
        <w:footnoteRef/>
      </w:r>
      <w:r w:rsidRPr="0085560B">
        <w:rPr>
          <w:rFonts w:asciiTheme="majorHAnsi" w:hAnsiTheme="majorHAnsi"/>
          <w:sz w:val="20"/>
        </w:rPr>
        <w:t xml:space="preserve"> The State Government Entities Certified Agreement 2015 (Core agreement) covers approximately 50,000 public sector employees.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20" w:rsidRDefault="004B3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BA" w:rsidRDefault="007E420B" w:rsidP="00DF70C8">
    <w:pPr>
      <w:pStyle w:val="Header"/>
      <w:ind w:left="-1797" w:firstLine="1797"/>
    </w:pPr>
    <w:r w:rsidRPr="007E420B">
      <w:rPr>
        <w:noProof/>
        <w:lang w:eastAsia="en-AU"/>
      </w:rPr>
      <w:drawing>
        <wp:anchor distT="0" distB="0" distL="114300" distR="114300" simplePos="0" relativeHeight="251657728" behindDoc="0" locked="0" layoutInCell="1" allowOverlap="1">
          <wp:simplePos x="0" y="0"/>
          <wp:positionH relativeFrom="column">
            <wp:posOffset>3357674</wp:posOffset>
          </wp:positionH>
          <wp:positionV relativeFrom="paragraph">
            <wp:posOffset>-166370</wp:posOffset>
          </wp:positionV>
          <wp:extent cx="2879725" cy="723265"/>
          <wp:effectExtent l="0" t="0" r="0" b="635"/>
          <wp:wrapThrough wrapText="bothSides">
            <wp:wrapPolygon edited="0">
              <wp:start x="0" y="0"/>
              <wp:lineTo x="0" y="21050"/>
              <wp:lineTo x="21433" y="21050"/>
              <wp:lineTo x="21433" y="0"/>
              <wp:lineTo x="0" y="0"/>
            </wp:wrapPolygon>
          </wp:wrapThrough>
          <wp:docPr id="19" name="Picture 19" descr="C:\Users\bargej\AppData\Local\Microsoft\Windows\INetCache\Content.Outlook\YLORDKSG\DPC5212 QIRT Review of Salary Levels of MP'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gej\AppData\Local\Microsoft\Windows\INetCache\Content.Outlook\YLORDKSG\DPC5212 QIRT Review of Salary Levels of MP's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723265"/>
                  </a:xfrm>
                  <a:prstGeom prst="rect">
                    <a:avLst/>
                  </a:prstGeom>
                  <a:noFill/>
                  <a:ln>
                    <a:noFill/>
                  </a:ln>
                </pic:spPr>
              </pic:pic>
            </a:graphicData>
          </a:graphic>
        </wp:anchor>
      </w:drawing>
    </w:r>
    <w:r w:rsidR="002132BA">
      <w:rPr>
        <w:noProof/>
        <w:lang w:eastAsia="en-AU"/>
      </w:rPr>
      <w:drawing>
        <wp:anchor distT="0" distB="0" distL="114300" distR="114300" simplePos="0" relativeHeight="251656704" behindDoc="0" locked="0" layoutInCell="1" allowOverlap="1" wp14:anchorId="5CA9AC78" wp14:editId="744A4F7B">
          <wp:simplePos x="0" y="0"/>
          <wp:positionH relativeFrom="column">
            <wp:posOffset>-1136650</wp:posOffset>
          </wp:positionH>
          <wp:positionV relativeFrom="paragraph">
            <wp:posOffset>-551815</wp:posOffset>
          </wp:positionV>
          <wp:extent cx="200025" cy="10829290"/>
          <wp:effectExtent l="0" t="0" r="9525" b="0"/>
          <wp:wrapSquare wrapText="bothSides"/>
          <wp:docPr id="20" name="Picture 20"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20" w:rsidRDefault="004B3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07BAD"/>
    <w:multiLevelType w:val="hybridMultilevel"/>
    <w:tmpl w:val="048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D3BB0"/>
    <w:multiLevelType w:val="hybridMultilevel"/>
    <w:tmpl w:val="26D2BA26"/>
    <w:lvl w:ilvl="0" w:tplc="04090001">
      <w:start w:val="1"/>
      <w:numFmt w:val="bullet"/>
      <w:lvlText w:val=""/>
      <w:lvlJc w:val="left"/>
      <w:pPr>
        <w:ind w:left="72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1340E73"/>
    <w:multiLevelType w:val="hybridMultilevel"/>
    <w:tmpl w:val="0D5835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363569B"/>
    <w:multiLevelType w:val="hybridMultilevel"/>
    <w:tmpl w:val="8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6F4"/>
    <w:multiLevelType w:val="hybridMultilevel"/>
    <w:tmpl w:val="DE6ECC54"/>
    <w:lvl w:ilvl="0" w:tplc="384AE084">
      <w:numFmt w:val="bullet"/>
      <w:lvlText w:val="-"/>
      <w:lvlJc w:val="left"/>
      <w:pPr>
        <w:ind w:left="360" w:hanging="360"/>
      </w:pPr>
      <w:rPr>
        <w:rFonts w:ascii="Arial" w:eastAsia="Times New Roman"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4B"/>
    <w:rsid w:val="000060D7"/>
    <w:rsid w:val="0001118D"/>
    <w:rsid w:val="000144EA"/>
    <w:rsid w:val="000706ED"/>
    <w:rsid w:val="000A2698"/>
    <w:rsid w:val="000C0049"/>
    <w:rsid w:val="000C4818"/>
    <w:rsid w:val="000D64C1"/>
    <w:rsid w:val="000D6A76"/>
    <w:rsid w:val="000D7563"/>
    <w:rsid w:val="000F23C6"/>
    <w:rsid w:val="00142152"/>
    <w:rsid w:val="00151274"/>
    <w:rsid w:val="00165CA1"/>
    <w:rsid w:val="00191C0D"/>
    <w:rsid w:val="001D087F"/>
    <w:rsid w:val="001F1501"/>
    <w:rsid w:val="002132BA"/>
    <w:rsid w:val="002528E0"/>
    <w:rsid w:val="00283E15"/>
    <w:rsid w:val="002A5EC8"/>
    <w:rsid w:val="002C356B"/>
    <w:rsid w:val="002E1CBE"/>
    <w:rsid w:val="002E7595"/>
    <w:rsid w:val="002E772D"/>
    <w:rsid w:val="00331A07"/>
    <w:rsid w:val="00390301"/>
    <w:rsid w:val="00392842"/>
    <w:rsid w:val="00411806"/>
    <w:rsid w:val="004232EF"/>
    <w:rsid w:val="004527A2"/>
    <w:rsid w:val="004618FA"/>
    <w:rsid w:val="0047094D"/>
    <w:rsid w:val="00490930"/>
    <w:rsid w:val="004A5366"/>
    <w:rsid w:val="004A7115"/>
    <w:rsid w:val="004B3F20"/>
    <w:rsid w:val="004C14FC"/>
    <w:rsid w:val="004D540F"/>
    <w:rsid w:val="004E3CF4"/>
    <w:rsid w:val="00507AFA"/>
    <w:rsid w:val="00541CD2"/>
    <w:rsid w:val="005771AE"/>
    <w:rsid w:val="005774C2"/>
    <w:rsid w:val="005813F9"/>
    <w:rsid w:val="005A4A4B"/>
    <w:rsid w:val="005E77D2"/>
    <w:rsid w:val="00633A2D"/>
    <w:rsid w:val="00657E42"/>
    <w:rsid w:val="00662A4F"/>
    <w:rsid w:val="006663E4"/>
    <w:rsid w:val="00693735"/>
    <w:rsid w:val="006A02A2"/>
    <w:rsid w:val="006E3387"/>
    <w:rsid w:val="00710430"/>
    <w:rsid w:val="0072782D"/>
    <w:rsid w:val="007316BA"/>
    <w:rsid w:val="00770F88"/>
    <w:rsid w:val="007E420B"/>
    <w:rsid w:val="00822446"/>
    <w:rsid w:val="0085560B"/>
    <w:rsid w:val="00885C8D"/>
    <w:rsid w:val="008D0BF5"/>
    <w:rsid w:val="008F56CD"/>
    <w:rsid w:val="009512DC"/>
    <w:rsid w:val="009633AB"/>
    <w:rsid w:val="00971792"/>
    <w:rsid w:val="009730A2"/>
    <w:rsid w:val="009978CF"/>
    <w:rsid w:val="009A2952"/>
    <w:rsid w:val="009B6BD8"/>
    <w:rsid w:val="009C1495"/>
    <w:rsid w:val="009C5690"/>
    <w:rsid w:val="009D65EF"/>
    <w:rsid w:val="009F78FA"/>
    <w:rsid w:val="00A0195D"/>
    <w:rsid w:val="00A23C7A"/>
    <w:rsid w:val="00A33A90"/>
    <w:rsid w:val="00A771C7"/>
    <w:rsid w:val="00A774FB"/>
    <w:rsid w:val="00AB3533"/>
    <w:rsid w:val="00AC17F8"/>
    <w:rsid w:val="00B002DF"/>
    <w:rsid w:val="00B17F4B"/>
    <w:rsid w:val="00B719D5"/>
    <w:rsid w:val="00B85935"/>
    <w:rsid w:val="00B954E9"/>
    <w:rsid w:val="00BE2E7E"/>
    <w:rsid w:val="00C00E1D"/>
    <w:rsid w:val="00C7422B"/>
    <w:rsid w:val="00C935F7"/>
    <w:rsid w:val="00CA42B0"/>
    <w:rsid w:val="00CA4BF1"/>
    <w:rsid w:val="00CF599C"/>
    <w:rsid w:val="00D071B7"/>
    <w:rsid w:val="00D45A2C"/>
    <w:rsid w:val="00D57D9D"/>
    <w:rsid w:val="00D630BD"/>
    <w:rsid w:val="00D8617A"/>
    <w:rsid w:val="00DC0159"/>
    <w:rsid w:val="00DD0078"/>
    <w:rsid w:val="00DF70C8"/>
    <w:rsid w:val="00E1322D"/>
    <w:rsid w:val="00E13B47"/>
    <w:rsid w:val="00E224F0"/>
    <w:rsid w:val="00E23DF9"/>
    <w:rsid w:val="00E41F87"/>
    <w:rsid w:val="00EA1EE9"/>
    <w:rsid w:val="00EC0BFF"/>
    <w:rsid w:val="00ED38ED"/>
    <w:rsid w:val="00F57D9B"/>
    <w:rsid w:val="00FA7A4F"/>
    <w:rsid w:val="00FD06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F79F0B-18A7-4C8D-995A-BE235FD8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4A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4A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A4A4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283E15"/>
  </w:style>
  <w:style w:type="character" w:customStyle="1" w:styleId="FootnoteTextChar">
    <w:name w:val="Footnote Text Char"/>
    <w:basedOn w:val="DefaultParagraphFont"/>
    <w:link w:val="FootnoteText"/>
    <w:uiPriority w:val="99"/>
    <w:rsid w:val="00283E15"/>
  </w:style>
  <w:style w:type="character" w:styleId="FootnoteReference">
    <w:name w:val="footnote reference"/>
    <w:basedOn w:val="DefaultParagraphFont"/>
    <w:uiPriority w:val="99"/>
    <w:unhideWhenUsed/>
    <w:rsid w:val="00283E15"/>
    <w:rPr>
      <w:vertAlign w:val="superscript"/>
    </w:rPr>
  </w:style>
  <w:style w:type="paragraph" w:styleId="ListParagraph">
    <w:name w:val="List Paragraph"/>
    <w:basedOn w:val="Normal"/>
    <w:uiPriority w:val="34"/>
    <w:qFormat/>
    <w:rsid w:val="00AB3533"/>
    <w:pPr>
      <w:ind w:left="720"/>
      <w:contextualSpacing/>
    </w:pPr>
  </w:style>
  <w:style w:type="character" w:styleId="CommentReference">
    <w:name w:val="annotation reference"/>
    <w:basedOn w:val="DefaultParagraphFont"/>
    <w:uiPriority w:val="99"/>
    <w:semiHidden/>
    <w:unhideWhenUsed/>
    <w:rsid w:val="00331A07"/>
    <w:rPr>
      <w:sz w:val="18"/>
      <w:szCs w:val="18"/>
    </w:rPr>
  </w:style>
  <w:style w:type="paragraph" w:styleId="CommentText">
    <w:name w:val="annotation text"/>
    <w:basedOn w:val="Normal"/>
    <w:link w:val="CommentTextChar"/>
    <w:uiPriority w:val="99"/>
    <w:semiHidden/>
    <w:unhideWhenUsed/>
    <w:rsid w:val="00331A07"/>
  </w:style>
  <w:style w:type="character" w:customStyle="1" w:styleId="CommentTextChar">
    <w:name w:val="Comment Text Char"/>
    <w:basedOn w:val="DefaultParagraphFont"/>
    <w:link w:val="CommentText"/>
    <w:uiPriority w:val="99"/>
    <w:semiHidden/>
    <w:rsid w:val="00331A07"/>
  </w:style>
  <w:style w:type="paragraph" w:styleId="CommentSubject">
    <w:name w:val="annotation subject"/>
    <w:basedOn w:val="CommentText"/>
    <w:next w:val="CommentText"/>
    <w:link w:val="CommentSubjectChar"/>
    <w:uiPriority w:val="99"/>
    <w:semiHidden/>
    <w:unhideWhenUsed/>
    <w:rsid w:val="00331A07"/>
    <w:rPr>
      <w:b/>
      <w:bCs/>
      <w:sz w:val="20"/>
      <w:szCs w:val="20"/>
    </w:rPr>
  </w:style>
  <w:style w:type="character" w:customStyle="1" w:styleId="CommentSubjectChar">
    <w:name w:val="Comment Subject Char"/>
    <w:basedOn w:val="CommentTextChar"/>
    <w:link w:val="CommentSubject"/>
    <w:uiPriority w:val="99"/>
    <w:semiHidden/>
    <w:rsid w:val="00331A07"/>
    <w:rPr>
      <w:b/>
      <w:bCs/>
      <w:sz w:val="20"/>
      <w:szCs w:val="20"/>
    </w:rPr>
  </w:style>
  <w:style w:type="paragraph" w:styleId="BalloonText">
    <w:name w:val="Balloon Text"/>
    <w:basedOn w:val="Normal"/>
    <w:link w:val="BalloonTextChar"/>
    <w:uiPriority w:val="99"/>
    <w:semiHidden/>
    <w:unhideWhenUsed/>
    <w:rsid w:val="00331A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A07"/>
    <w:rPr>
      <w:rFonts w:ascii="Lucida Grande" w:hAnsi="Lucida Grande" w:cs="Lucida Grande"/>
      <w:sz w:val="18"/>
      <w:szCs w:val="18"/>
    </w:rPr>
  </w:style>
  <w:style w:type="paragraph" w:styleId="Header">
    <w:name w:val="header"/>
    <w:basedOn w:val="Normal"/>
    <w:link w:val="HeaderChar"/>
    <w:uiPriority w:val="99"/>
    <w:unhideWhenUsed/>
    <w:rsid w:val="002132BA"/>
    <w:pPr>
      <w:tabs>
        <w:tab w:val="center" w:pos="4513"/>
        <w:tab w:val="right" w:pos="9026"/>
      </w:tabs>
    </w:pPr>
  </w:style>
  <w:style w:type="character" w:customStyle="1" w:styleId="HeaderChar">
    <w:name w:val="Header Char"/>
    <w:basedOn w:val="DefaultParagraphFont"/>
    <w:link w:val="Header"/>
    <w:uiPriority w:val="99"/>
    <w:rsid w:val="002132BA"/>
  </w:style>
  <w:style w:type="paragraph" w:styleId="Footer">
    <w:name w:val="footer"/>
    <w:basedOn w:val="Normal"/>
    <w:link w:val="FooterChar"/>
    <w:uiPriority w:val="99"/>
    <w:unhideWhenUsed/>
    <w:rsid w:val="002132BA"/>
    <w:pPr>
      <w:tabs>
        <w:tab w:val="center" w:pos="4513"/>
        <w:tab w:val="right" w:pos="9026"/>
      </w:tabs>
    </w:pPr>
  </w:style>
  <w:style w:type="character" w:customStyle="1" w:styleId="FooterChar">
    <w:name w:val="Footer Char"/>
    <w:basedOn w:val="DefaultParagraphFont"/>
    <w:link w:val="Footer"/>
    <w:uiPriority w:val="99"/>
    <w:rsid w:val="002132BA"/>
  </w:style>
  <w:style w:type="character" w:styleId="Hyperlink">
    <w:name w:val="Hyperlink"/>
    <w:basedOn w:val="DefaultParagraphFont"/>
    <w:uiPriority w:val="99"/>
    <w:unhideWhenUsed/>
    <w:rsid w:val="00CA4BF1"/>
    <w:rPr>
      <w:color w:val="0000FF" w:themeColor="hyperlink"/>
      <w:u w:val="single"/>
    </w:rPr>
  </w:style>
  <w:style w:type="paragraph" w:styleId="NoSpacing">
    <w:name w:val="No Spacing"/>
    <w:link w:val="NoSpacingChar"/>
    <w:uiPriority w:val="1"/>
    <w:qFormat/>
    <w:rsid w:val="00E23DF9"/>
    <w:rPr>
      <w:sz w:val="22"/>
      <w:szCs w:val="22"/>
      <w:lang w:val="en-US"/>
    </w:rPr>
  </w:style>
  <w:style w:type="character" w:customStyle="1" w:styleId="NoSpacingChar">
    <w:name w:val="No Spacing Char"/>
    <w:basedOn w:val="DefaultParagraphFont"/>
    <w:link w:val="NoSpacing"/>
    <w:uiPriority w:val="1"/>
    <w:rsid w:val="00E23DF9"/>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rba.gov.au/monetary-policy/rba-board-minutes/2016/2016-07-05.html" TargetMode="External"/><Relationship Id="rId2" Type="http://schemas.openxmlformats.org/officeDocument/2006/relationships/hyperlink" Target="http://www.rba.gov.au/speeches/2016/sp-gov-2016-08-10.html" TargetMode="External"/><Relationship Id="rId1" Type="http://schemas.openxmlformats.org/officeDocument/2006/relationships/hyperlink" Target="http://budget.qld.gov.au/budget-pap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0AFAF-C529-4E70-AC1B-AD12F1B0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2012</Words>
  <Characters>10846</Characters>
  <Application>Microsoft Office Word</Application>
  <DocSecurity>0</DocSecurity>
  <Lines>451</Lines>
  <Paragraphs>285</Paragraphs>
  <ScaleCrop>false</ScaleCrop>
  <HeadingPairs>
    <vt:vector size="2" baseType="variant">
      <vt:variant>
        <vt:lpstr>Title</vt:lpstr>
      </vt:variant>
      <vt:variant>
        <vt:i4>1</vt:i4>
      </vt:variant>
    </vt:vector>
  </HeadingPairs>
  <TitlesOfParts>
    <vt:vector size="1" baseType="lpstr">
      <vt:lpstr>Cover page</vt:lpstr>
    </vt:vector>
  </TitlesOfParts>
  <Company>Griffith University</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dc:subject>
  <dc:creator>Anne-Maree Tiernan</dc:creator>
  <cp:keywords/>
  <dc:description/>
  <cp:lastModifiedBy>Jessica Barge</cp:lastModifiedBy>
  <cp:revision>14</cp:revision>
  <cp:lastPrinted>2016-08-26T04:17:00Z</cp:lastPrinted>
  <dcterms:created xsi:type="dcterms:W3CDTF">2016-08-25T01:58:00Z</dcterms:created>
  <dcterms:modified xsi:type="dcterms:W3CDTF">2016-08-28T23:43:00Z</dcterms:modified>
</cp:coreProperties>
</file>